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248BA" w14:textId="7A91586D" w:rsidR="00464994" w:rsidRDefault="00464994" w:rsidP="00464994">
      <w:pPr>
        <w:pStyle w:val="Body"/>
      </w:pPr>
      <w:r>
        <w:t xml:space="preserve">The intention of this exploratory study is to describe and understand what factors impact how and where environmental science graduate students gain computational knowledge and the ability to reason through statistical and computational applications in their disciplines. Students who participated in the study described their experiences in acquiring computational skills and their ability to reason through statistical computing applications related to their field. </w:t>
      </w:r>
    </w:p>
    <w:p w14:paraId="34FA4675" w14:textId="77777777" w:rsidR="00FF2C72" w:rsidRDefault="00FF2C72" w:rsidP="00464994">
      <w:pPr>
        <w:pStyle w:val="Body"/>
      </w:pPr>
    </w:p>
    <w:p w14:paraId="3375F81F" w14:textId="6779EC15" w:rsidR="00B064C5" w:rsidRDefault="00B064C5" w:rsidP="00B064C5">
      <w:pPr>
        <w:pStyle w:val="Body"/>
      </w:pPr>
      <w:r>
        <w:drawing>
          <wp:anchor distT="0" distB="0" distL="114300" distR="114300" simplePos="0" relativeHeight="251659264" behindDoc="0" locked="0" layoutInCell="1" allowOverlap="1" wp14:anchorId="5E81613E" wp14:editId="03948299">
            <wp:simplePos x="0" y="0"/>
            <wp:positionH relativeFrom="column">
              <wp:posOffset>215900</wp:posOffset>
            </wp:positionH>
            <wp:positionV relativeFrom="paragraph">
              <wp:posOffset>687070</wp:posOffset>
            </wp:positionV>
            <wp:extent cx="5486400" cy="584200"/>
            <wp:effectExtent l="19050" t="38100" r="38100" b="6350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V relativeFrom="margin">
              <wp14:pctHeight>0</wp14:pctHeight>
            </wp14:sizeRelV>
          </wp:anchor>
        </w:drawing>
      </w:r>
      <w:r w:rsidRPr="008271AA">
        <w:t>The findings of this study</w:t>
      </w:r>
      <w:r>
        <w:t xml:space="preserve"> are summarized in a path diagram, depicting the resources stud</w:t>
      </w:r>
      <w:r w:rsidR="00BA525C">
        <w:t xml:space="preserve">ents rely on when they are </w:t>
      </w:r>
      <w:r w:rsidR="00BA525C">
        <w:t>faced with computational expectations beyond their ability</w:t>
      </w:r>
      <w:r w:rsidR="00BA525C">
        <w:t xml:space="preserve">. </w:t>
      </w:r>
      <w:r w:rsidRPr="008271AA">
        <w:t>With the emergent themes describing where students are acquiring</w:t>
      </w:r>
      <w:r>
        <w:t xml:space="preserve"> computational </w:t>
      </w:r>
      <w:r w:rsidRPr="008271AA">
        <w:t xml:space="preserve">skills, the </w:t>
      </w:r>
      <w:r>
        <w:t>path diagram</w:t>
      </w:r>
      <w:r w:rsidRPr="008271AA">
        <w:t xml:space="preserve"> in Figure 1 reflects these changes.</w:t>
      </w:r>
    </w:p>
    <w:p w14:paraId="4FBC89C3" w14:textId="77777777" w:rsidR="00B064C5" w:rsidRDefault="00B064C5" w:rsidP="00B064C5">
      <w:pPr>
        <w:pStyle w:val="Body"/>
      </w:pPr>
    </w:p>
    <w:p w14:paraId="59921971" w14:textId="77777777" w:rsidR="00AE0908" w:rsidRDefault="00B064C5" w:rsidP="00B064C5">
      <w:pPr>
        <w:pStyle w:val="Body"/>
      </w:pPr>
      <w:r w:rsidRPr="005D4DF2">
        <w:t xml:space="preserve"> </w:t>
      </w:r>
      <w:r>
        <w:t xml:space="preserve">First, when a graduate student encounters a statistical computing problem they pull upon the knowledge they have acquired through their undergraduate background, graduate coursework and independent research. For these participants, the elements of background that proved to be of the most help were both undergraduate statistics courses and pre-graduate research. The programming understandings that these students attributed to their graduate coursework were primarily low-level concepts, such as logical statements, using built-in </w:t>
      </w:r>
      <w:r w:rsidRPr="006A37D4">
        <w:rPr>
          <w:rFonts w:ascii="Courier New" w:hAnsi="Courier New" w:cs="Courier New"/>
        </w:rPr>
        <w:t>R</w:t>
      </w:r>
      <w:r>
        <w:rPr>
          <w:rFonts w:ascii="Courier New" w:hAnsi="Courier New" w:cs="Courier New"/>
        </w:rPr>
        <w:t xml:space="preserve"> </w:t>
      </w:r>
      <w:r>
        <w:t xml:space="preserve">functions, adding comments to their code, and trouble-shooting error messages. These concepts were found to ony be fully understood through the use of peer interaction, as they were being implemented in their own research. </w:t>
      </w:r>
    </w:p>
    <w:p w14:paraId="3967F3A7" w14:textId="77777777" w:rsidR="00AE0908" w:rsidRDefault="00AE0908" w:rsidP="00B064C5">
      <w:pPr>
        <w:pStyle w:val="Body"/>
      </w:pPr>
    </w:p>
    <w:p w14:paraId="0EFDE924" w14:textId="1D7B8B06" w:rsidR="00B064C5" w:rsidRDefault="00AE0908" w:rsidP="009B5A6E">
      <w:pPr>
        <w:pStyle w:val="Body"/>
      </w:pPr>
      <w:r>
        <w:t>P</w:t>
      </w:r>
      <w:r>
        <w:t xml:space="preserve">articipants voiced the importance of their experiences performing independent research as a substantial influence on their abilities to reason through and perform statistical and computational problems. </w:t>
      </w:r>
      <w:r w:rsidR="000417B1">
        <w:t xml:space="preserve"> </w:t>
      </w:r>
      <w:r w:rsidR="000417B1">
        <w:t xml:space="preserve">Through independent research, the participants were able to play with real-world data and applications outside of what they saw in the classroom. </w:t>
      </w:r>
      <w:r w:rsidR="00B064C5">
        <w:t>The programming understandings informed by a student's independent res</w:t>
      </w:r>
      <w:r w:rsidR="004B471F">
        <w:t xml:space="preserve">earch, in conjunction with peer </w:t>
      </w:r>
      <w:r w:rsidR="00B064C5">
        <w:t>collaboration,</w:t>
      </w:r>
      <w:r w:rsidR="004B471F">
        <w:t xml:space="preserve"> were described </w:t>
      </w:r>
      <w:r w:rsidR="00B064C5">
        <w:t xml:space="preserve">to be largely high-level concepts, such as user-defined functions, conditional statements, and loop implementation. </w:t>
      </w:r>
      <w:r w:rsidR="009B5A6E">
        <w:t>Students described their independent research as opening the door to experiencing t</w:t>
      </w:r>
      <w:r w:rsidR="004B471F">
        <w:t xml:space="preserve">he unease that comes when one is asked to perform computational tasks beyond one's knowledge. </w:t>
      </w:r>
      <w:r w:rsidR="009B5A6E">
        <w:t xml:space="preserve">In these circumstances, students </w:t>
      </w:r>
      <w:r w:rsidR="00D85FAF">
        <w:t xml:space="preserve">stated that they </w:t>
      </w:r>
      <w:r w:rsidR="00B064C5">
        <w:t xml:space="preserve">turn to external resources.   </w:t>
      </w:r>
    </w:p>
    <w:p w14:paraId="7C702E4C" w14:textId="76AD117E" w:rsidR="00AE0908" w:rsidRDefault="00AE0908" w:rsidP="00B064C5">
      <w:pPr>
        <w:pStyle w:val="Body"/>
      </w:pPr>
    </w:p>
    <w:p w14:paraId="2B0D70A6" w14:textId="19DE945D" w:rsidR="00BE57DB" w:rsidRDefault="00BE57DB" w:rsidP="00B064C5">
      <w:pPr>
        <w:pStyle w:val="Body"/>
      </w:pPr>
      <w:r>
        <w:t xml:space="preserve">In a direct connection to the participants' discomfort in asking for help from an adviser, the theme of a singular consultant emerged. These singular consultants serve as an all-knowing individual, from whom the participants have either had the “best” experiences with, where the individual spends the necessary time to explain the concepts, or the consultant has always been capable of providing the participant with an answer to their problem. </w:t>
      </w:r>
      <w:r w:rsidR="00C31985">
        <w:t>T</w:t>
      </w:r>
      <w:r>
        <w:t>hese figures serve a</w:t>
      </w:r>
      <w:r w:rsidR="00C31985">
        <w:t>s computational mentors, where participants were</w:t>
      </w:r>
      <w:r>
        <w:t xml:space="preserve"> both able to seek computational help and acquire new computational skills and understandings through</w:t>
      </w:r>
      <w:r w:rsidR="00C31985">
        <w:t xml:space="preserve"> their interactions. I</w:t>
      </w:r>
      <w:r w:rsidR="00C31985">
        <w:t>f due to time or physical constraints, this consultant is unavailable to the graduate student, they then turn to their peers.</w:t>
      </w:r>
    </w:p>
    <w:p w14:paraId="51EC0F44" w14:textId="77777777" w:rsidR="00BE57DB" w:rsidRDefault="00BE57DB" w:rsidP="00B064C5">
      <w:pPr>
        <w:pStyle w:val="Body"/>
      </w:pPr>
    </w:p>
    <w:p w14:paraId="3DE5C1C0" w14:textId="54D661C9" w:rsidR="00B064C5" w:rsidRDefault="00276A38" w:rsidP="009C66B9">
      <w:pPr>
        <w:pStyle w:val="Body"/>
      </w:pPr>
      <w:r>
        <w:t>P</w:t>
      </w:r>
      <w:r>
        <w:t xml:space="preserve">eer support was initially discussed by the participants in their interviews as a mechanism they use when their "code doesn't run" or when they are asked (or need) to do something </w:t>
      </w:r>
      <w:r>
        <w:t xml:space="preserve">beyond </w:t>
      </w:r>
      <w:r>
        <w:t xml:space="preserve">their current computational understandings. However, this theme continued to emerge as the participants worked through the computational problems, often attributing their knowledge of computational procedures to a friend or fellow graduate student helping them “do it with their data.” These peers offer an avenue for students to seek help, often voiced to be more comfortable than asking an adviser, where participants described both the fear of asking and “feeling dumb,” as well as being “brushed off” because their adviser </w:t>
      </w:r>
      <w:r>
        <w:lastRenderedPageBreak/>
        <w:t xml:space="preserve">thought they should “be able to figure out how to do it.”  </w:t>
      </w:r>
      <w:r w:rsidR="00055EC2">
        <w:t xml:space="preserve">However, </w:t>
      </w:r>
      <w:r w:rsidR="00055EC2">
        <w:t>as opposed to the help</w:t>
      </w:r>
      <w:r w:rsidR="00055EC2">
        <w:t xml:space="preserve"> participants received from their singular consultant</w:t>
      </w:r>
      <w:r w:rsidR="00055EC2">
        <w:t>, the</w:t>
      </w:r>
      <w:r w:rsidR="00055EC2">
        <w:t xml:space="preserve"> students </w:t>
      </w:r>
      <w:r w:rsidR="00055EC2">
        <w:t>voiced</w:t>
      </w:r>
      <w:r w:rsidR="00055EC2">
        <w:t xml:space="preserve"> </w:t>
      </w:r>
      <w:r w:rsidR="009C66B9">
        <w:t xml:space="preserve">the </w:t>
      </w:r>
      <w:r w:rsidR="00055EC2">
        <w:t>negative experiences</w:t>
      </w:r>
      <w:r w:rsidR="009C66B9">
        <w:t xml:space="preserve"> they have encountered</w:t>
      </w:r>
      <w:r w:rsidR="00055EC2">
        <w:t xml:space="preserve"> when seek</w:t>
      </w:r>
      <w:r w:rsidR="00055EC2">
        <w:t xml:space="preserve">ing help from their peers, such as </w:t>
      </w:r>
      <w:r w:rsidR="009C66B9">
        <w:t xml:space="preserve">a peer </w:t>
      </w:r>
      <w:r w:rsidR="00B064C5">
        <w:t xml:space="preserve">sending them their code that they do not understand.  </w:t>
      </w:r>
    </w:p>
    <w:p w14:paraId="18E41CE9" w14:textId="0235D18B" w:rsidR="00232918" w:rsidRDefault="00232918" w:rsidP="00232918">
      <w:pPr>
        <w:pStyle w:val="Body"/>
      </w:pPr>
    </w:p>
    <w:p w14:paraId="65B46C21" w14:textId="77777777" w:rsidR="00232918" w:rsidRDefault="00232918" w:rsidP="00232918">
      <w:pPr>
        <w:pStyle w:val="Body"/>
      </w:pPr>
    </w:p>
    <w:p w14:paraId="3246BB04" w14:textId="77777777" w:rsidR="00B064C5" w:rsidRDefault="00B064C5" w:rsidP="00B064C5">
      <w:pPr>
        <w:pStyle w:val="Body"/>
      </w:pPr>
      <w:r>
        <w:t xml:space="preserve">Lastly, the adviser plays an important role in students acquiring the computational knowledge necessary to perform applications, by both emphasizing the importance of these skills, as well as introductions (or recommendations) for students to store their data in an </w:t>
      </w:r>
      <w:r w:rsidRPr="00606A54">
        <w:rPr>
          <w:rFonts w:ascii="Courier New" w:hAnsi="Courier New" w:cs="Courier New"/>
        </w:rPr>
        <w:t>Access</w:t>
      </w:r>
      <w:r>
        <w:rPr>
          <w:rFonts w:ascii="Courier New" w:hAnsi="Courier New" w:cs="Courier New"/>
        </w:rPr>
        <w:t xml:space="preserve"> </w:t>
      </w:r>
      <w:r>
        <w:t xml:space="preserve">database. The ability of many participants to understand both data structures and sorting or filtering data was largely attributed to their experiences working with these types of databases. Although this study found that advisers are not often used, they  are viewed as an accessible way for students to better understand the computation necessary for their independent research projects, which overall contributes to better computational understanding and skills for these students. </w:t>
      </w:r>
    </w:p>
    <w:p w14:paraId="16B8327F" w14:textId="77777777" w:rsidR="00B064C5" w:rsidRDefault="00B064C5" w:rsidP="00464994">
      <w:pPr>
        <w:pStyle w:val="Body"/>
      </w:pPr>
    </w:p>
    <w:p w14:paraId="25D76CC0" w14:textId="09629585" w:rsidR="00464994" w:rsidRDefault="00464994" w:rsidP="00464994">
      <w:pPr>
        <w:pStyle w:val="Body"/>
      </w:pPr>
      <w:r>
        <w: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p>
    <w:p w14:paraId="260EC677" w14:textId="77777777" w:rsidR="00464994" w:rsidRDefault="00464994" w:rsidP="00464994">
      <w:pPr>
        <w:pStyle w:val="Body"/>
      </w:pPr>
    </w:p>
    <w:p w14:paraId="55055EDD" w14:textId="5473D538" w:rsidR="00464994" w:rsidRDefault="00464994" w:rsidP="00464994">
      <w:pPr>
        <w:pStyle w:val="Body"/>
      </w:pPr>
      <w:r>
        <w:t xml:space="preserve">The largest difference in the impacts of a factor between computational skill groups, came in the theme of a singular consultant. One participant, Stephanie, who entered graduate school after completing a year's work as a research assistant working in </w:t>
      </w:r>
      <w:r w:rsidRPr="00914691">
        <w:rPr>
          <w:rFonts w:ascii="Courier New" w:hAnsi="Courier New" w:cs="Courier New"/>
        </w:rPr>
        <w:t>R</w:t>
      </w:r>
      <w:r>
        <w:t xml:space="preserve">, instead serves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t>
      </w:r>
    </w:p>
    <w:p w14:paraId="2B47D439" w14:textId="56CCBBB4" w:rsidR="00464994" w:rsidRDefault="00464994" w:rsidP="0041043E">
      <w:pPr>
        <w:pStyle w:val="Body"/>
      </w:pPr>
    </w:p>
    <w:p w14:paraId="0749C049" w14:textId="22E37410" w:rsidR="002B6574" w:rsidRDefault="008C6146" w:rsidP="0041043E">
      <w:pPr>
        <w:pStyle w:val="Body"/>
      </w:pPr>
      <w:r>
        <w:t xml:space="preserve">While the methodology used to determine graduate environmental science students’ experiences with statistical computing </w:t>
      </w:r>
      <w:r w:rsidR="002B6574">
        <w:t>in</w:t>
      </w:r>
      <w:r>
        <w:t xml:space="preserve"> the present study provided </w:t>
      </w:r>
      <w:r w:rsidR="002B6574">
        <w:t xml:space="preserve">useful </w:t>
      </w:r>
      <w:r>
        <w:t>themes</w:t>
      </w:r>
      <w:r w:rsidR="002B6574">
        <w:t>, it is not without its limitations.</w:t>
      </w:r>
      <w:r w:rsidR="008B2E20">
        <w:t xml:space="preserve"> Eliciting </w:t>
      </w:r>
      <w:r w:rsidR="0081514D">
        <w:t xml:space="preserve">descriptions of </w:t>
      </w:r>
      <w:r w:rsidR="00FE2692">
        <w:t xml:space="preserve">computational knowledge acquisition yielded </w:t>
      </w:r>
      <w:r w:rsidR="004F30E9">
        <w:t xml:space="preserve">varied experiences with </w:t>
      </w:r>
      <w:r w:rsidR="004055E2">
        <w:t xml:space="preserve">each of the main themes, but richer data could be gathered in </w:t>
      </w:r>
      <w:r w:rsidR="00F87708">
        <w:t xml:space="preserve">a </w:t>
      </w:r>
      <w:r w:rsidR="004055E2">
        <w:t xml:space="preserve">future </w:t>
      </w:r>
      <w:r w:rsidR="00F87708">
        <w:t>longitudinal study, f</w:t>
      </w:r>
      <w:r w:rsidR="004055E2">
        <w:t xml:space="preserve">ollowing graduate students throughout their </w:t>
      </w:r>
      <w:r w:rsidR="00F87708">
        <w:t xml:space="preserve">program of study. </w:t>
      </w:r>
      <w:r w:rsidR="008A0854">
        <w:t>While the current study provides a window into graduate environmental science students’</w:t>
      </w:r>
      <w:r w:rsidR="00C51186">
        <w:t xml:space="preserve"> computation experiences, it is important for future studies to investigate </w:t>
      </w:r>
      <w:r w:rsidR="00DA739B">
        <w:t xml:space="preserve">what types of computational knowledge students are in acquiring </w:t>
      </w:r>
      <w:r w:rsidR="00DA739B">
        <w:t>throughtout t</w:t>
      </w:r>
      <w:r w:rsidR="00DA739B">
        <w:t xml:space="preserve">heir coursework, as well as, the computational burden students experience for varying aspects of their coursework and research. </w:t>
      </w:r>
      <w:r w:rsidR="008A0854">
        <w:t xml:space="preserve"> </w:t>
      </w:r>
      <w:r w:rsidR="004055E2">
        <w:t xml:space="preserve"> </w:t>
      </w:r>
    </w:p>
    <w:p w14:paraId="6D80642F" w14:textId="1DAC7049" w:rsidR="008B2E20" w:rsidRDefault="008B2E20" w:rsidP="0041043E">
      <w:pPr>
        <w:pStyle w:val="Body"/>
      </w:pPr>
    </w:p>
    <w:p w14:paraId="5C41660A" w14:textId="729E37CB" w:rsidR="00464994" w:rsidRDefault="00D538C8" w:rsidP="003D61BA">
      <w:pPr>
        <w:pStyle w:val="Body"/>
      </w:pPr>
      <w:r>
        <w:t xml:space="preserve">Finally, it should be noted the present study focuses on describing environmental science graduate students’ experiences in acquiring statistical computing knowledge, but not in what computational knowledge they possess. Therefore, we have learned primarily about the </w:t>
      </w:r>
      <w:r>
        <w:t xml:space="preserve">resources students rely on </w:t>
      </w:r>
      <w:r>
        <w:t xml:space="preserve">in acquiring </w:t>
      </w:r>
      <w:r>
        <w:t>computational</w:t>
      </w:r>
      <w:r>
        <w:t xml:space="preserve"> knowledge</w:t>
      </w:r>
      <w:r>
        <w:t xml:space="preserve"> expectations beyond their ability</w:t>
      </w:r>
      <w:r>
        <w:t>. Again, in performing a longitudinal study researchers could have the ability to isolate specific statistical computing knowledge students acquire</w:t>
      </w:r>
      <w:r w:rsidR="004F1605">
        <w:t xml:space="preserve"> and where it is learned. </w:t>
      </w:r>
    </w:p>
    <w:p w14:paraId="75ADD04D" w14:textId="303AA4D8" w:rsidR="00304B99" w:rsidRDefault="00304B99">
      <w:pPr>
        <w:rPr>
          <w:rFonts w:ascii="Times New Roman" w:eastAsia="Times" w:hAnsi="Times New Roman" w:cs="Times New Roman"/>
          <w:noProof/>
          <w:szCs w:val="20"/>
        </w:rPr>
      </w:pPr>
      <w:r>
        <w:br w:type="page"/>
      </w:r>
    </w:p>
    <w:p w14:paraId="35AFC77A" w14:textId="2B309A26" w:rsidR="00304B99" w:rsidRDefault="00304B99" w:rsidP="00304B99">
      <w:pPr>
        <w:pStyle w:val="Body"/>
      </w:pPr>
      <w:r w:rsidRPr="008271AA">
        <w:lastRenderedPageBreak/>
        <w:t>we are able to see how both instruction and learning could be improved. It is possible that students are acquiring computational skills in the classroom, however there is also the possibility that the concepts being taught are not</w:t>
      </w:r>
      <w:r>
        <w:t xml:space="preserve"> done so in an approachable manner </w:t>
      </w:r>
      <w:r w:rsidRPr="008271AA">
        <w:t xml:space="preserve">for students to grasp them independent of their peers. </w:t>
      </w:r>
    </w:p>
    <w:p w14:paraId="0F9584A0" w14:textId="760DAF29" w:rsidR="00304B99" w:rsidRDefault="00304B99" w:rsidP="00304B99">
      <w:pPr>
        <w:pStyle w:val="Body"/>
      </w:pPr>
    </w:p>
    <w:p w14:paraId="0605AB37" w14:textId="2285FF13" w:rsidR="00304B99" w:rsidRDefault="00304B99" w:rsidP="00304B99">
      <w:pPr>
        <w:pStyle w:val="Body"/>
      </w:pPr>
    </w:p>
    <w:p w14:paraId="33F006FE" w14:textId="7B34C92C" w:rsidR="009A2E10" w:rsidRDefault="003E0726" w:rsidP="009A2E10">
      <w:pPr>
        <w:pStyle w:val="Body"/>
      </w:pPr>
      <w:r>
        <w:t>S</w:t>
      </w:r>
      <w:r>
        <w:t xml:space="preserve">tatistical computing has become </w:t>
      </w:r>
      <w:r>
        <w:t xml:space="preserve">a </w:t>
      </w:r>
      <w:r>
        <w:t xml:space="preserve">foundational </w:t>
      </w:r>
      <w:r>
        <w:t xml:space="preserve">aspect of research in the environmental sciences. This small-scale study brings forward the experiences of graduate envrionmental science students in </w:t>
      </w:r>
      <w:r w:rsidR="009A2E10" w:rsidRPr="008271AA">
        <w:t xml:space="preserve">acquiring the computational understandings necessary to successfully perform field related </w:t>
      </w:r>
      <w:r w:rsidR="009A2E10">
        <w:t xml:space="preserve">statistical </w:t>
      </w:r>
      <w:r w:rsidR="009A2E10" w:rsidRPr="008271AA">
        <w:t>applications</w:t>
      </w:r>
      <w:r>
        <w:t xml:space="preserve">. These themes bring to light the </w:t>
      </w:r>
      <w:r w:rsidR="00593F80">
        <w:t xml:space="preserve">factors </w:t>
      </w:r>
      <w:r>
        <w:t>students rely upon when gaining these computational understandings</w:t>
      </w:r>
      <w:r w:rsidR="000F2255">
        <w:t xml:space="preserve">, and suggest the need for </w:t>
      </w:r>
      <w:r w:rsidR="0049297C">
        <w:t xml:space="preserve">the </w:t>
      </w:r>
      <w:r w:rsidR="000F2255">
        <w:t xml:space="preserve">integration of computational training </w:t>
      </w:r>
      <w:r w:rsidR="00AF6561">
        <w:t xml:space="preserve">into </w:t>
      </w:r>
      <w:r w:rsidR="00CE29F5">
        <w:t>t</w:t>
      </w:r>
      <w:r w:rsidR="0049297C">
        <w:t>hese programs</w:t>
      </w:r>
      <w:r w:rsidR="000F2255">
        <w:t>.</w:t>
      </w:r>
      <w:r w:rsidR="00D07977">
        <w:t xml:space="preserve"> </w:t>
      </w:r>
      <w:r w:rsidR="000526AE">
        <w:t xml:space="preserve">The present study begins the discussion of the computational knowledge necessary for research in the environmental sciences, since it provides an overview of the resources graduate students rely on in their aquistion of these understandings. </w:t>
      </w:r>
      <w:r w:rsidR="009A2E10" w:rsidRPr="008271AA">
        <w:t>To better inform faculty in these departments, a thorough investigation</w:t>
      </w:r>
      <w:r w:rsidR="003F1F36">
        <w:t xml:space="preserve"> of both the coursework and structure </w:t>
      </w:r>
      <w:r w:rsidR="009A2E10" w:rsidRPr="008271AA">
        <w:t>of courses completed by these participants could be performed. This will allow for a</w:t>
      </w:r>
      <w:r w:rsidR="003F1F36">
        <w:t xml:space="preserve"> discussion of how to best integrate</w:t>
      </w:r>
      <w:r w:rsidR="009A2E10" w:rsidRPr="008271AA">
        <w:t xml:space="preserve"> these computational concepts, so that students leave the classroom</w:t>
      </w:r>
      <w:bookmarkStart w:id="0" w:name="_GoBack"/>
      <w:bookmarkEnd w:id="0"/>
      <w:r w:rsidR="009A2E10" w:rsidRPr="008271AA">
        <w:t xml:space="preserve"> with understandings they can implement immediately in their own research.</w:t>
      </w:r>
    </w:p>
    <w:p w14:paraId="69A32C86" w14:textId="77777777" w:rsidR="009A2E10" w:rsidRDefault="009A2E10" w:rsidP="009A2E10">
      <w:pPr>
        <w:pStyle w:val="Body"/>
      </w:pPr>
    </w:p>
    <w:sectPr w:rsidR="009A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43E"/>
    <w:rsid w:val="000417B1"/>
    <w:rsid w:val="000526AE"/>
    <w:rsid w:val="00055EC2"/>
    <w:rsid w:val="000C20BC"/>
    <w:rsid w:val="000F2255"/>
    <w:rsid w:val="001F6672"/>
    <w:rsid w:val="0020307C"/>
    <w:rsid w:val="00232918"/>
    <w:rsid w:val="00276A38"/>
    <w:rsid w:val="002B6574"/>
    <w:rsid w:val="002D7FAC"/>
    <w:rsid w:val="00304B99"/>
    <w:rsid w:val="0038013C"/>
    <w:rsid w:val="003D61BA"/>
    <w:rsid w:val="003E0726"/>
    <w:rsid w:val="003F1F36"/>
    <w:rsid w:val="004055E2"/>
    <w:rsid w:val="0041043E"/>
    <w:rsid w:val="00464994"/>
    <w:rsid w:val="0049297C"/>
    <w:rsid w:val="004B471F"/>
    <w:rsid w:val="004E5544"/>
    <w:rsid w:val="004F1605"/>
    <w:rsid w:val="004F30E9"/>
    <w:rsid w:val="00511A60"/>
    <w:rsid w:val="00593F80"/>
    <w:rsid w:val="005D4DF2"/>
    <w:rsid w:val="005E04FC"/>
    <w:rsid w:val="006D630E"/>
    <w:rsid w:val="0081514D"/>
    <w:rsid w:val="008A0854"/>
    <w:rsid w:val="008B2E20"/>
    <w:rsid w:val="008C5D51"/>
    <w:rsid w:val="008C6146"/>
    <w:rsid w:val="009526DE"/>
    <w:rsid w:val="009567A4"/>
    <w:rsid w:val="009A2E10"/>
    <w:rsid w:val="009B5A6E"/>
    <w:rsid w:val="009C66B9"/>
    <w:rsid w:val="00AE0908"/>
    <w:rsid w:val="00AF6561"/>
    <w:rsid w:val="00B064C5"/>
    <w:rsid w:val="00BA525C"/>
    <w:rsid w:val="00BD06D1"/>
    <w:rsid w:val="00BE5001"/>
    <w:rsid w:val="00BE57DB"/>
    <w:rsid w:val="00C31985"/>
    <w:rsid w:val="00C51186"/>
    <w:rsid w:val="00C7689F"/>
    <w:rsid w:val="00CE29F5"/>
    <w:rsid w:val="00CE5D28"/>
    <w:rsid w:val="00D00685"/>
    <w:rsid w:val="00D07977"/>
    <w:rsid w:val="00D307F3"/>
    <w:rsid w:val="00D538C8"/>
    <w:rsid w:val="00D85FAF"/>
    <w:rsid w:val="00DA739B"/>
    <w:rsid w:val="00DC540F"/>
    <w:rsid w:val="00DE67D4"/>
    <w:rsid w:val="00E061DB"/>
    <w:rsid w:val="00F035E0"/>
    <w:rsid w:val="00F12574"/>
    <w:rsid w:val="00F155E5"/>
    <w:rsid w:val="00F4264A"/>
    <w:rsid w:val="00F87708"/>
    <w:rsid w:val="00FD29CE"/>
    <w:rsid w:val="00FE2692"/>
    <w:rsid w:val="00F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4EE7"/>
  <w15:chartTrackingRefBased/>
  <w15:docId w15:val="{6BC685EE-5F9E-4491-98B8-541D1A75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41043E"/>
    <w:pPr>
      <w:spacing w:after="0" w:line="240" w:lineRule="auto"/>
      <w:ind w:firstLine="340"/>
      <w:jc w:val="both"/>
    </w:pPr>
    <w:rPr>
      <w:rFonts w:ascii="Times New Roman" w:eastAsia="Times" w:hAnsi="Times New Roman" w:cs="Times New Roman"/>
      <w:noProof/>
      <w:szCs w:val="20"/>
    </w:rPr>
  </w:style>
  <w:style w:type="character" w:styleId="CommentReference">
    <w:name w:val="annotation reference"/>
    <w:basedOn w:val="DefaultParagraphFont"/>
    <w:uiPriority w:val="99"/>
    <w:semiHidden/>
    <w:unhideWhenUsed/>
    <w:rsid w:val="0041043E"/>
    <w:rPr>
      <w:sz w:val="16"/>
      <w:szCs w:val="16"/>
    </w:rPr>
  </w:style>
  <w:style w:type="paragraph" w:styleId="CommentText">
    <w:name w:val="annotation text"/>
    <w:basedOn w:val="Normal"/>
    <w:link w:val="CommentTextChar"/>
    <w:uiPriority w:val="99"/>
    <w:semiHidden/>
    <w:unhideWhenUsed/>
    <w:rsid w:val="0041043E"/>
    <w:pPr>
      <w:spacing w:after="0" w:line="240" w:lineRule="auto"/>
      <w:jc w:val="both"/>
    </w:pPr>
    <w:rPr>
      <w:rFonts w:ascii="Times New Roman" w:eastAsia="Times" w:hAnsi="Times New Roman" w:cs="Times New Roman"/>
      <w:noProof/>
      <w:sz w:val="20"/>
      <w:szCs w:val="20"/>
    </w:rPr>
  </w:style>
  <w:style w:type="character" w:customStyle="1" w:styleId="CommentTextChar">
    <w:name w:val="Comment Text Char"/>
    <w:basedOn w:val="DefaultParagraphFont"/>
    <w:link w:val="CommentText"/>
    <w:uiPriority w:val="99"/>
    <w:semiHidden/>
    <w:rsid w:val="0041043E"/>
    <w:rPr>
      <w:rFonts w:ascii="Times New Roman" w:eastAsia="Times" w:hAnsi="Times New Roman" w:cs="Times New Roman"/>
      <w:noProof/>
      <w:sz w:val="20"/>
      <w:szCs w:val="20"/>
    </w:rPr>
  </w:style>
  <w:style w:type="paragraph" w:styleId="BalloonText">
    <w:name w:val="Balloon Text"/>
    <w:basedOn w:val="Normal"/>
    <w:link w:val="BalloonTextChar"/>
    <w:uiPriority w:val="99"/>
    <w:semiHidden/>
    <w:unhideWhenUsed/>
    <w:rsid w:val="00410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2B6616-E251-44E7-8E94-ADE2FE2DCE64}" type="doc">
      <dgm:prSet loTypeId="urn:microsoft.com/office/officeart/2005/8/layout/chevron1" loCatId="process" qsTypeId="urn:microsoft.com/office/officeart/2005/8/quickstyle/simple1" qsCatId="simple" csTypeId="urn:microsoft.com/office/officeart/2005/8/colors/accent1_2" csCatId="accent1" phldr="1"/>
      <dgm:spPr/>
    </dgm:pt>
    <dgm:pt modelId="{5C01B681-2510-4055-9B1F-A1F616C703DB}">
      <dgm:prSet phldrT="[Text]"/>
      <dgm:spPr/>
      <dgm:t>
        <a:bodyPr/>
        <a:lstStyle/>
        <a:p>
          <a:r>
            <a:rPr lang="en-US"/>
            <a:t>Singular Consultant</a:t>
          </a:r>
        </a:p>
      </dgm:t>
    </dgm:pt>
    <dgm:pt modelId="{C15390FD-95D8-43DE-8BEA-048E2F8D8D12}" type="parTrans" cxnId="{3EA61CD8-789C-4F6F-9F0A-7EAFEDE7F8C4}">
      <dgm:prSet/>
      <dgm:spPr/>
      <dgm:t>
        <a:bodyPr/>
        <a:lstStyle/>
        <a:p>
          <a:endParaRPr lang="en-US"/>
        </a:p>
      </dgm:t>
    </dgm:pt>
    <dgm:pt modelId="{C8777ACE-A065-47BA-8403-81C238074742}" type="sibTrans" cxnId="{3EA61CD8-789C-4F6F-9F0A-7EAFEDE7F8C4}">
      <dgm:prSet/>
      <dgm:spPr/>
      <dgm:t>
        <a:bodyPr/>
        <a:lstStyle/>
        <a:p>
          <a:endParaRPr lang="en-US"/>
        </a:p>
      </dgm:t>
    </dgm:pt>
    <dgm:pt modelId="{A4F0A6FD-73DE-4469-AC2B-15BD573270F5}">
      <dgm:prSet phldrT="[Text]"/>
      <dgm:spPr/>
      <dgm:t>
        <a:bodyPr/>
        <a:lstStyle/>
        <a:p>
          <a:r>
            <a:rPr lang="en-US"/>
            <a:t>Peers</a:t>
          </a:r>
        </a:p>
      </dgm:t>
    </dgm:pt>
    <dgm:pt modelId="{2399E747-5769-4B53-B08D-7014AD92C5F3}" type="parTrans" cxnId="{56D7F2DC-5A4A-4ADD-9CDB-4AD3052CD4E6}">
      <dgm:prSet/>
      <dgm:spPr/>
      <dgm:t>
        <a:bodyPr/>
        <a:lstStyle/>
        <a:p>
          <a:endParaRPr lang="en-US"/>
        </a:p>
      </dgm:t>
    </dgm:pt>
    <dgm:pt modelId="{C5CCBD4E-B726-4C30-8017-71631D29EC24}" type="sibTrans" cxnId="{56D7F2DC-5A4A-4ADD-9CDB-4AD3052CD4E6}">
      <dgm:prSet/>
      <dgm:spPr/>
      <dgm:t>
        <a:bodyPr/>
        <a:lstStyle/>
        <a:p>
          <a:endParaRPr lang="en-US"/>
        </a:p>
      </dgm:t>
    </dgm:pt>
    <dgm:pt modelId="{85650C68-1CDB-4259-8319-22B65FEEE4ED}">
      <dgm:prSet phldrT="[Text]"/>
      <dgm:spPr/>
      <dgm:t>
        <a:bodyPr/>
        <a:lstStyle/>
        <a:p>
          <a:r>
            <a:rPr lang="en-US"/>
            <a:t>Advisor</a:t>
          </a:r>
        </a:p>
      </dgm:t>
    </dgm:pt>
    <dgm:pt modelId="{1C5A6625-B703-46A9-91BC-12E7F081CE51}" type="parTrans" cxnId="{9F00175E-7D41-4987-B24A-1500DB20C084}">
      <dgm:prSet/>
      <dgm:spPr/>
      <dgm:t>
        <a:bodyPr/>
        <a:lstStyle/>
        <a:p>
          <a:endParaRPr lang="en-US"/>
        </a:p>
      </dgm:t>
    </dgm:pt>
    <dgm:pt modelId="{ECB8974E-E22C-452B-9392-C4BBDFA04C90}" type="sibTrans" cxnId="{9F00175E-7D41-4987-B24A-1500DB20C084}">
      <dgm:prSet/>
      <dgm:spPr/>
      <dgm:t>
        <a:bodyPr/>
        <a:lstStyle/>
        <a:p>
          <a:endParaRPr lang="en-US"/>
        </a:p>
      </dgm:t>
    </dgm:pt>
    <dgm:pt modelId="{0FC28FF0-5F55-461D-BBDE-3B6A926F73E4}" type="pres">
      <dgm:prSet presAssocID="{A92B6616-E251-44E7-8E94-ADE2FE2DCE64}" presName="Name0" presStyleCnt="0">
        <dgm:presLayoutVars>
          <dgm:dir/>
          <dgm:animLvl val="lvl"/>
          <dgm:resizeHandles val="exact"/>
        </dgm:presLayoutVars>
      </dgm:prSet>
      <dgm:spPr/>
    </dgm:pt>
    <dgm:pt modelId="{04872AA3-A3CC-4400-97BC-D96CCAE7CD96}" type="pres">
      <dgm:prSet presAssocID="{5C01B681-2510-4055-9B1F-A1F616C703DB}" presName="parTxOnly" presStyleLbl="node1" presStyleIdx="0" presStyleCnt="3">
        <dgm:presLayoutVars>
          <dgm:chMax val="0"/>
          <dgm:chPref val="0"/>
          <dgm:bulletEnabled val="1"/>
        </dgm:presLayoutVars>
      </dgm:prSet>
      <dgm:spPr/>
    </dgm:pt>
    <dgm:pt modelId="{304C7D25-3000-4376-8800-5777C773C1E6}" type="pres">
      <dgm:prSet presAssocID="{C8777ACE-A065-47BA-8403-81C238074742}" presName="parTxOnlySpace" presStyleCnt="0"/>
      <dgm:spPr/>
    </dgm:pt>
    <dgm:pt modelId="{58253BCC-DA31-4271-B8C4-0EA4B257AFBB}" type="pres">
      <dgm:prSet presAssocID="{A4F0A6FD-73DE-4469-AC2B-15BD573270F5}" presName="parTxOnly" presStyleLbl="node1" presStyleIdx="1" presStyleCnt="3">
        <dgm:presLayoutVars>
          <dgm:chMax val="0"/>
          <dgm:chPref val="0"/>
          <dgm:bulletEnabled val="1"/>
        </dgm:presLayoutVars>
      </dgm:prSet>
      <dgm:spPr/>
    </dgm:pt>
    <dgm:pt modelId="{9F72E465-0FCF-49A9-BEBF-589FC9737860}" type="pres">
      <dgm:prSet presAssocID="{C5CCBD4E-B726-4C30-8017-71631D29EC24}" presName="parTxOnlySpace" presStyleCnt="0"/>
      <dgm:spPr/>
    </dgm:pt>
    <dgm:pt modelId="{0FAF70F7-3210-4808-A6E1-A60E97737F96}" type="pres">
      <dgm:prSet presAssocID="{85650C68-1CDB-4259-8319-22B65FEEE4ED}" presName="parTxOnly" presStyleLbl="node1" presStyleIdx="2" presStyleCnt="3">
        <dgm:presLayoutVars>
          <dgm:chMax val="0"/>
          <dgm:chPref val="0"/>
          <dgm:bulletEnabled val="1"/>
        </dgm:presLayoutVars>
      </dgm:prSet>
      <dgm:spPr/>
    </dgm:pt>
  </dgm:ptLst>
  <dgm:cxnLst>
    <dgm:cxn modelId="{00E26611-7CED-4566-977D-B7725D911AE3}" type="presOf" srcId="{85650C68-1CDB-4259-8319-22B65FEEE4ED}" destId="{0FAF70F7-3210-4808-A6E1-A60E97737F96}" srcOrd="0" destOrd="0" presId="urn:microsoft.com/office/officeart/2005/8/layout/chevron1"/>
    <dgm:cxn modelId="{6A217527-2D32-430E-8714-4D9D513BCA70}" type="presOf" srcId="{A92B6616-E251-44E7-8E94-ADE2FE2DCE64}" destId="{0FC28FF0-5F55-461D-BBDE-3B6A926F73E4}" srcOrd="0" destOrd="0" presId="urn:microsoft.com/office/officeart/2005/8/layout/chevron1"/>
    <dgm:cxn modelId="{9F00175E-7D41-4987-B24A-1500DB20C084}" srcId="{A92B6616-E251-44E7-8E94-ADE2FE2DCE64}" destId="{85650C68-1CDB-4259-8319-22B65FEEE4ED}" srcOrd="2" destOrd="0" parTransId="{1C5A6625-B703-46A9-91BC-12E7F081CE51}" sibTransId="{ECB8974E-E22C-452B-9392-C4BBDFA04C90}"/>
    <dgm:cxn modelId="{573709A5-9674-4610-AAB9-87592DA1219E}" type="presOf" srcId="{5C01B681-2510-4055-9B1F-A1F616C703DB}" destId="{04872AA3-A3CC-4400-97BC-D96CCAE7CD96}" srcOrd="0" destOrd="0" presId="urn:microsoft.com/office/officeart/2005/8/layout/chevron1"/>
    <dgm:cxn modelId="{FEC3C5B3-AB05-4E8B-8C1D-22A3A3B899FB}" type="presOf" srcId="{A4F0A6FD-73DE-4469-AC2B-15BD573270F5}" destId="{58253BCC-DA31-4271-B8C4-0EA4B257AFBB}" srcOrd="0" destOrd="0" presId="urn:microsoft.com/office/officeart/2005/8/layout/chevron1"/>
    <dgm:cxn modelId="{3EA61CD8-789C-4F6F-9F0A-7EAFEDE7F8C4}" srcId="{A92B6616-E251-44E7-8E94-ADE2FE2DCE64}" destId="{5C01B681-2510-4055-9B1F-A1F616C703DB}" srcOrd="0" destOrd="0" parTransId="{C15390FD-95D8-43DE-8BEA-048E2F8D8D12}" sibTransId="{C8777ACE-A065-47BA-8403-81C238074742}"/>
    <dgm:cxn modelId="{56D7F2DC-5A4A-4ADD-9CDB-4AD3052CD4E6}" srcId="{A92B6616-E251-44E7-8E94-ADE2FE2DCE64}" destId="{A4F0A6FD-73DE-4469-AC2B-15BD573270F5}" srcOrd="1" destOrd="0" parTransId="{2399E747-5769-4B53-B08D-7014AD92C5F3}" sibTransId="{C5CCBD4E-B726-4C30-8017-71631D29EC24}"/>
    <dgm:cxn modelId="{1711A2AE-B7E3-4DDC-8692-7886694823BD}" type="presParOf" srcId="{0FC28FF0-5F55-461D-BBDE-3B6A926F73E4}" destId="{04872AA3-A3CC-4400-97BC-D96CCAE7CD96}" srcOrd="0" destOrd="0" presId="urn:microsoft.com/office/officeart/2005/8/layout/chevron1"/>
    <dgm:cxn modelId="{5D164D94-98BF-4CD5-9D36-5FCC8060CAE6}" type="presParOf" srcId="{0FC28FF0-5F55-461D-BBDE-3B6A926F73E4}" destId="{304C7D25-3000-4376-8800-5777C773C1E6}" srcOrd="1" destOrd="0" presId="urn:microsoft.com/office/officeart/2005/8/layout/chevron1"/>
    <dgm:cxn modelId="{089AE1A6-448F-4B4A-9E48-9C1B63CA95AA}" type="presParOf" srcId="{0FC28FF0-5F55-461D-BBDE-3B6A926F73E4}" destId="{58253BCC-DA31-4271-B8C4-0EA4B257AFBB}" srcOrd="2" destOrd="0" presId="urn:microsoft.com/office/officeart/2005/8/layout/chevron1"/>
    <dgm:cxn modelId="{997A01A9-C99D-4E88-AAD4-4DB928D051B7}" type="presParOf" srcId="{0FC28FF0-5F55-461D-BBDE-3B6A926F73E4}" destId="{9F72E465-0FCF-49A9-BEBF-589FC9737860}" srcOrd="3" destOrd="0" presId="urn:microsoft.com/office/officeart/2005/8/layout/chevron1"/>
    <dgm:cxn modelId="{7F77B6AE-6899-4CAD-933A-29411B9475AA}" type="presParOf" srcId="{0FC28FF0-5F55-461D-BBDE-3B6A926F73E4}" destId="{0FAF70F7-3210-4808-A6E1-A60E97737F96}" srcOrd="4" destOrd="0" presId="urn:microsoft.com/office/officeart/2005/8/layout/chevron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872AA3-A3CC-4400-97BC-D96CCAE7CD96}">
      <dsp:nvSpPr>
        <dsp:cNvPr id="0" name=""/>
        <dsp:cNvSpPr/>
      </dsp:nvSpPr>
      <dsp:spPr>
        <a:xfrm>
          <a:off x="1607" y="0"/>
          <a:ext cx="1958280" cy="5842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Singular Consultant</a:t>
          </a:r>
        </a:p>
      </dsp:txBody>
      <dsp:txXfrm>
        <a:off x="293707" y="0"/>
        <a:ext cx="1374080" cy="584200"/>
      </dsp:txXfrm>
    </dsp:sp>
    <dsp:sp modelId="{58253BCC-DA31-4271-B8C4-0EA4B257AFBB}">
      <dsp:nvSpPr>
        <dsp:cNvPr id="0" name=""/>
        <dsp:cNvSpPr/>
      </dsp:nvSpPr>
      <dsp:spPr>
        <a:xfrm>
          <a:off x="1764059" y="0"/>
          <a:ext cx="1958280" cy="5842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Peers</a:t>
          </a:r>
        </a:p>
      </dsp:txBody>
      <dsp:txXfrm>
        <a:off x="2056159" y="0"/>
        <a:ext cx="1374080" cy="584200"/>
      </dsp:txXfrm>
    </dsp:sp>
    <dsp:sp modelId="{0FAF70F7-3210-4808-A6E1-A60E97737F96}">
      <dsp:nvSpPr>
        <dsp:cNvPr id="0" name=""/>
        <dsp:cNvSpPr/>
      </dsp:nvSpPr>
      <dsp:spPr>
        <a:xfrm>
          <a:off x="3526512" y="0"/>
          <a:ext cx="1958280" cy="5842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Advisor</a:t>
          </a:r>
        </a:p>
      </dsp:txBody>
      <dsp:txXfrm>
        <a:off x="3818612" y="0"/>
        <a:ext cx="1374080" cy="5842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3</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51</cp:revision>
  <dcterms:created xsi:type="dcterms:W3CDTF">2018-05-31T19:57:00Z</dcterms:created>
  <dcterms:modified xsi:type="dcterms:W3CDTF">2018-06-03T15:54:00Z</dcterms:modified>
</cp:coreProperties>
</file>