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5F4F" w:rsidRDefault="00485F4F" w:rsidP="00156BF9">
      <w:pPr>
        <w:pStyle w:val="NoSpacing"/>
        <w:rPr>
          <w:rFonts w:ascii="Garamond" w:hAnsi="Garamond"/>
        </w:rPr>
      </w:pPr>
      <w:r>
        <w:rPr>
          <w:rFonts w:ascii="Garamond" w:hAnsi="Garamond"/>
          <w:b/>
        </w:rPr>
        <w:t xml:space="preserve">3-way scatterplots </w:t>
      </w:r>
    </w:p>
    <w:p w:rsidR="00485F4F" w:rsidRDefault="00485F4F" w:rsidP="00156BF9">
      <w:pPr>
        <w:pStyle w:val="NoSpacing"/>
        <w:rPr>
          <w:rFonts w:ascii="Garamond" w:hAnsi="Garamond"/>
        </w:rPr>
      </w:pPr>
    </w:p>
    <w:p w:rsidR="00485F4F" w:rsidRDefault="00485F4F" w:rsidP="00156BF9">
      <w:pPr>
        <w:pStyle w:val="NoSpacing"/>
        <w:rPr>
          <w:rFonts w:ascii="Garamond" w:hAnsi="Garamond"/>
        </w:rPr>
      </w:pPr>
      <w:r>
        <w:rPr>
          <w:rFonts w:ascii="Garamond" w:hAnsi="Garamond"/>
        </w:rPr>
        <w:t xml:space="preserve">We now turn to a common way of visualizing relationships between 3 quantitative variables, the 3-way scatterplot.  </w:t>
      </w:r>
      <w:r w:rsidR="004C3D77">
        <w:rPr>
          <w:rFonts w:ascii="Garamond" w:hAnsi="Garamond"/>
        </w:rPr>
        <w:t xml:space="preserve">You may be familiar with the bubble plots at </w:t>
      </w:r>
      <w:hyperlink r:id="rId8" w:anchor="_locale_id=en;&amp;chart-type=bubbles" w:history="1">
        <w:r w:rsidRPr="004C3D77">
          <w:rPr>
            <w:rStyle w:val="Hyperlink"/>
            <w:rFonts w:ascii="Garamond" w:hAnsi="Garamond"/>
          </w:rPr>
          <w:t>Gapminder.org</w:t>
        </w:r>
      </w:hyperlink>
      <w:r w:rsidR="004C3D77">
        <w:rPr>
          <w:rFonts w:ascii="Garamond" w:hAnsi="Garamond"/>
        </w:rPr>
        <w:t>, which are essentially</w:t>
      </w:r>
      <w:r>
        <w:rPr>
          <w:rFonts w:ascii="Garamond" w:hAnsi="Garamond"/>
        </w:rPr>
        <w:t xml:space="preserve"> 3-way scatterplots that we can re-create in Tableau.  Along the way, we will encounter the following Tableau topics:</w:t>
      </w:r>
    </w:p>
    <w:p w:rsidR="00485F4F" w:rsidRDefault="00485F4F" w:rsidP="00156BF9">
      <w:pPr>
        <w:pStyle w:val="NoSpacing"/>
        <w:rPr>
          <w:rFonts w:ascii="Garamond" w:hAnsi="Garamond"/>
        </w:rPr>
      </w:pPr>
    </w:p>
    <w:p w:rsidR="00485F4F" w:rsidRDefault="00485F4F" w:rsidP="00485F4F">
      <w:pPr>
        <w:pStyle w:val="NoSpacing"/>
        <w:numPr>
          <w:ilvl w:val="0"/>
          <w:numId w:val="11"/>
        </w:numPr>
        <w:rPr>
          <w:rFonts w:ascii="Garamond" w:hAnsi="Garamond"/>
        </w:rPr>
      </w:pPr>
      <w:r>
        <w:rPr>
          <w:rFonts w:ascii="Garamond" w:hAnsi="Garamond"/>
        </w:rPr>
        <w:t>Group creation</w:t>
      </w:r>
    </w:p>
    <w:p w:rsidR="00485F4F" w:rsidRDefault="00485F4F" w:rsidP="00485F4F">
      <w:pPr>
        <w:pStyle w:val="NoSpacing"/>
        <w:numPr>
          <w:ilvl w:val="0"/>
          <w:numId w:val="11"/>
        </w:numPr>
        <w:rPr>
          <w:rFonts w:ascii="Garamond" w:hAnsi="Garamond"/>
        </w:rPr>
      </w:pPr>
      <w:r>
        <w:rPr>
          <w:rFonts w:ascii="Garamond" w:hAnsi="Garamond"/>
        </w:rPr>
        <w:t>Parameter creation</w:t>
      </w:r>
    </w:p>
    <w:p w:rsidR="00485F4F" w:rsidRDefault="00485F4F" w:rsidP="00485F4F">
      <w:pPr>
        <w:pStyle w:val="NoSpacing"/>
        <w:numPr>
          <w:ilvl w:val="0"/>
          <w:numId w:val="11"/>
        </w:numPr>
        <w:rPr>
          <w:rFonts w:ascii="Garamond" w:hAnsi="Garamond"/>
        </w:rPr>
      </w:pPr>
      <w:r>
        <w:rPr>
          <w:rFonts w:ascii="Garamond" w:hAnsi="Garamond"/>
        </w:rPr>
        <w:t>Pages (aka animation)</w:t>
      </w:r>
    </w:p>
    <w:p w:rsidR="00485F4F" w:rsidRDefault="00485F4F" w:rsidP="00156BF9">
      <w:pPr>
        <w:pStyle w:val="NoSpacing"/>
        <w:rPr>
          <w:rFonts w:ascii="Garamond" w:hAnsi="Garamond"/>
        </w:rPr>
      </w:pPr>
    </w:p>
    <w:p w:rsidR="00485F4F" w:rsidRDefault="00485F4F" w:rsidP="00156BF9">
      <w:pPr>
        <w:pStyle w:val="NoSpacing"/>
        <w:rPr>
          <w:rFonts w:ascii="Garamond" w:hAnsi="Garamond"/>
        </w:rPr>
      </w:pPr>
      <w:r>
        <w:rPr>
          <w:rFonts w:ascii="Garamond" w:hAnsi="Garamond"/>
          <w:b/>
        </w:rPr>
        <w:t xml:space="preserve">Task: visualize the relationship of life expectancy with internet usage and fertility rate across the world. </w:t>
      </w:r>
    </w:p>
    <w:p w:rsidR="00485F4F" w:rsidRDefault="00485F4F" w:rsidP="00156BF9">
      <w:pPr>
        <w:pStyle w:val="NoSpacing"/>
        <w:rPr>
          <w:rFonts w:ascii="Garamond" w:hAnsi="Garamond"/>
        </w:rPr>
      </w:pPr>
    </w:p>
    <w:p w:rsidR="00485F4F" w:rsidRDefault="00485F4F" w:rsidP="00156BF9">
      <w:pPr>
        <w:pStyle w:val="NoSpacing"/>
        <w:rPr>
          <w:rFonts w:ascii="Garamond" w:hAnsi="Garamond"/>
        </w:rPr>
      </w:pPr>
      <w:r>
        <w:rPr>
          <w:rFonts w:ascii="Garamond" w:hAnsi="Garamond"/>
        </w:rPr>
        <w:t xml:space="preserve">Whenever you are interested in the relationship between 2 quantitative variables, you should immediately think “scatterplot.”  </w:t>
      </w:r>
      <w:r w:rsidR="00673C9F">
        <w:rPr>
          <w:rFonts w:ascii="Garamond" w:hAnsi="Garamond"/>
        </w:rPr>
        <w:t>3-way scatterplot simply indicates the color or size of the points are encoding some third variable.  3-way scatterplots</w:t>
      </w:r>
      <w:r>
        <w:rPr>
          <w:rFonts w:ascii="Garamond" w:hAnsi="Garamond"/>
        </w:rPr>
        <w:t xml:space="preserve"> </w:t>
      </w:r>
      <w:r w:rsidR="00673C9F">
        <w:rPr>
          <w:rFonts w:ascii="Garamond" w:hAnsi="Garamond"/>
        </w:rPr>
        <w:t xml:space="preserve">are easy to create in Tableau.  Here’s the first pass; note that we must set life expectancy and internet usage as </w:t>
      </w:r>
      <w:r w:rsidR="00673C9F">
        <w:rPr>
          <w:rFonts w:ascii="Garamond" w:hAnsi="Garamond"/>
          <w:b/>
        </w:rPr>
        <w:t>Dimensions</w:t>
      </w:r>
      <w:r w:rsidR="00673C9F">
        <w:rPr>
          <w:rFonts w:ascii="Garamond" w:hAnsi="Garamond"/>
        </w:rPr>
        <w:t xml:space="preserve"> so they do not aggregate:</w:t>
      </w:r>
    </w:p>
    <w:p w:rsidR="00673C9F" w:rsidRDefault="00673C9F" w:rsidP="00156BF9">
      <w:pPr>
        <w:pStyle w:val="NoSpacing"/>
        <w:rPr>
          <w:rFonts w:ascii="Garamond" w:hAnsi="Garamond"/>
        </w:rPr>
      </w:pPr>
    </w:p>
    <w:p w:rsidR="00673C9F" w:rsidRDefault="00673C9F" w:rsidP="00673C9F">
      <w:pPr>
        <w:pStyle w:val="NoSpacing"/>
        <w:jc w:val="center"/>
        <w:rPr>
          <w:rFonts w:ascii="Garamond" w:hAnsi="Garamond"/>
        </w:rPr>
      </w:pPr>
      <w:r>
        <w:rPr>
          <w:noProof/>
        </w:rPr>
        <w:drawing>
          <wp:inline distT="0" distB="0" distL="0" distR="0" wp14:anchorId="75E9CF57" wp14:editId="0100C308">
            <wp:extent cx="4076700" cy="2947331"/>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4510" cy="2952978"/>
                    </a:xfrm>
                    <a:prstGeom prst="rect">
                      <a:avLst/>
                    </a:prstGeom>
                  </pic:spPr>
                </pic:pic>
              </a:graphicData>
            </a:graphic>
          </wp:inline>
        </w:drawing>
      </w:r>
    </w:p>
    <w:p w:rsidR="00673C9F" w:rsidRDefault="00673C9F" w:rsidP="00673C9F">
      <w:pPr>
        <w:pStyle w:val="NoSpacing"/>
        <w:rPr>
          <w:rFonts w:ascii="Garamond" w:hAnsi="Garamond"/>
        </w:rPr>
      </w:pPr>
    </w:p>
    <w:p w:rsidR="00673C9F" w:rsidRDefault="00673C9F" w:rsidP="00673C9F">
      <w:pPr>
        <w:pStyle w:val="NoSpacing"/>
        <w:rPr>
          <w:rFonts w:ascii="Garamond" w:hAnsi="Garamond"/>
        </w:rPr>
      </w:pPr>
      <w:r>
        <w:rPr>
          <w:rFonts w:ascii="Garamond" w:hAnsi="Garamond"/>
        </w:rPr>
        <w:t xml:space="preserve">There are several </w:t>
      </w:r>
      <w:r w:rsidR="004C3D77">
        <w:rPr>
          <w:rFonts w:ascii="Garamond" w:hAnsi="Garamond"/>
        </w:rPr>
        <w:t>issues we should be able to identify right away</w:t>
      </w:r>
      <w:r>
        <w:rPr>
          <w:rFonts w:ascii="Garamond" w:hAnsi="Garamond"/>
        </w:rPr>
        <w:t>:</w:t>
      </w:r>
    </w:p>
    <w:p w:rsidR="00673C9F" w:rsidRDefault="00673C9F" w:rsidP="00673C9F">
      <w:pPr>
        <w:pStyle w:val="NoSpacing"/>
        <w:numPr>
          <w:ilvl w:val="0"/>
          <w:numId w:val="12"/>
        </w:numPr>
        <w:rPr>
          <w:rFonts w:ascii="Garamond" w:hAnsi="Garamond"/>
        </w:rPr>
      </w:pPr>
      <w:r>
        <w:rPr>
          <w:rFonts w:ascii="Garamond" w:hAnsi="Garamond"/>
        </w:rPr>
        <w:t>This visualization includes many years’ worth of data</w:t>
      </w:r>
    </w:p>
    <w:p w:rsidR="00673C9F" w:rsidRDefault="00673C9F" w:rsidP="00673C9F">
      <w:pPr>
        <w:pStyle w:val="NoSpacing"/>
        <w:numPr>
          <w:ilvl w:val="0"/>
          <w:numId w:val="12"/>
        </w:numPr>
        <w:rPr>
          <w:rFonts w:ascii="Garamond" w:hAnsi="Garamond"/>
        </w:rPr>
      </w:pPr>
      <w:r>
        <w:rPr>
          <w:rFonts w:ascii="Garamond" w:hAnsi="Garamond"/>
        </w:rPr>
        <w:t>There are a lot of overlapping points (transparency might help)</w:t>
      </w:r>
    </w:p>
    <w:p w:rsidR="00673C9F" w:rsidRDefault="00673C9F" w:rsidP="00673C9F">
      <w:pPr>
        <w:pStyle w:val="NoSpacing"/>
        <w:numPr>
          <w:ilvl w:val="0"/>
          <w:numId w:val="12"/>
        </w:numPr>
        <w:rPr>
          <w:rFonts w:ascii="Garamond" w:hAnsi="Garamond"/>
        </w:rPr>
      </w:pPr>
      <w:r>
        <w:rPr>
          <w:rFonts w:ascii="Garamond" w:hAnsi="Garamond"/>
        </w:rPr>
        <w:t>The X-axis includes -5.  Axes should never include data values that are impossible or meaningless.</w:t>
      </w:r>
    </w:p>
    <w:p w:rsidR="004C3D77" w:rsidRPr="00B24B9B" w:rsidRDefault="00673C9F" w:rsidP="00673C9F">
      <w:pPr>
        <w:pStyle w:val="NoSpacing"/>
        <w:numPr>
          <w:ilvl w:val="0"/>
          <w:numId w:val="12"/>
        </w:numPr>
        <w:rPr>
          <w:rFonts w:ascii="Garamond" w:hAnsi="Garamond"/>
        </w:rPr>
      </w:pPr>
      <w:r>
        <w:rPr>
          <w:rFonts w:ascii="Garamond" w:hAnsi="Garamond"/>
        </w:rPr>
        <w:t>A more subjective point: I don’t like the drop line at 0.  Why do we need this?</w:t>
      </w:r>
    </w:p>
    <w:p w:rsidR="00673C9F" w:rsidRDefault="00673C9F" w:rsidP="00673C9F">
      <w:pPr>
        <w:pStyle w:val="NoSpacing"/>
        <w:rPr>
          <w:rFonts w:ascii="Garamond" w:hAnsi="Garamond"/>
        </w:rPr>
      </w:pPr>
      <w:r>
        <w:rPr>
          <w:rFonts w:ascii="Garamond" w:hAnsi="Garamond"/>
        </w:rPr>
        <w:lastRenderedPageBreak/>
        <w:t>Let’s start editing:</w:t>
      </w:r>
    </w:p>
    <w:p w:rsidR="004C3D77" w:rsidRDefault="004C3D77" w:rsidP="00673C9F">
      <w:pPr>
        <w:pStyle w:val="NoSpacing"/>
        <w:rPr>
          <w:rFonts w:ascii="Garamond" w:hAnsi="Garamond"/>
        </w:rPr>
      </w:pPr>
    </w:p>
    <w:p w:rsidR="00673C9F" w:rsidRDefault="00673C9F" w:rsidP="00673C9F">
      <w:pPr>
        <w:pStyle w:val="NoSpacing"/>
        <w:numPr>
          <w:ilvl w:val="0"/>
          <w:numId w:val="13"/>
        </w:numPr>
        <w:rPr>
          <w:rFonts w:ascii="Garamond" w:hAnsi="Garamond"/>
        </w:rPr>
      </w:pPr>
      <w:r>
        <w:rPr>
          <w:rFonts w:ascii="Garamond" w:hAnsi="Garamond"/>
        </w:rPr>
        <w:t>Add a filter on Year</w:t>
      </w:r>
    </w:p>
    <w:p w:rsidR="00673C9F" w:rsidRDefault="00673C9F" w:rsidP="00673C9F">
      <w:pPr>
        <w:pStyle w:val="NoSpacing"/>
        <w:numPr>
          <w:ilvl w:val="0"/>
          <w:numId w:val="13"/>
        </w:numPr>
        <w:rPr>
          <w:rFonts w:ascii="Garamond" w:hAnsi="Garamond"/>
        </w:rPr>
      </w:pPr>
      <w:r>
        <w:rPr>
          <w:rFonts w:ascii="Garamond" w:hAnsi="Garamond"/>
        </w:rPr>
        <w:t>Use the Color menu on the Marks card to add borders to and make the points transparent</w:t>
      </w:r>
    </w:p>
    <w:p w:rsidR="00673C9F" w:rsidRDefault="00673C9F" w:rsidP="00673C9F">
      <w:pPr>
        <w:pStyle w:val="NoSpacing"/>
        <w:numPr>
          <w:ilvl w:val="0"/>
          <w:numId w:val="13"/>
        </w:numPr>
        <w:rPr>
          <w:rFonts w:ascii="Garamond" w:hAnsi="Garamond"/>
        </w:rPr>
      </w:pPr>
      <w:r>
        <w:rPr>
          <w:rFonts w:ascii="Garamond" w:hAnsi="Garamond"/>
        </w:rPr>
        <w:t>Edit the axis.  Try making it start at 0.  If this doesn’t look good, try starting it at -4.9 so that you get the aesthetic look you want without the -5 tick mark label.</w:t>
      </w:r>
    </w:p>
    <w:p w:rsidR="00673C9F" w:rsidRDefault="00673C9F" w:rsidP="00673C9F">
      <w:pPr>
        <w:pStyle w:val="NoSpacing"/>
        <w:numPr>
          <w:ilvl w:val="0"/>
          <w:numId w:val="13"/>
        </w:numPr>
        <w:rPr>
          <w:rFonts w:ascii="Garamond" w:hAnsi="Garamond"/>
        </w:rPr>
      </w:pPr>
      <w:r>
        <w:rPr>
          <w:rFonts w:ascii="Garamond" w:hAnsi="Garamond"/>
        </w:rPr>
        <w:t>Get rid of the 0 drop line (maybe grid lines too?) using the Format menu.</w:t>
      </w:r>
    </w:p>
    <w:p w:rsidR="00673C9F" w:rsidRDefault="00673C9F" w:rsidP="00673C9F">
      <w:pPr>
        <w:pStyle w:val="NoSpacing"/>
        <w:rPr>
          <w:rFonts w:ascii="Garamond" w:hAnsi="Garamond"/>
        </w:rPr>
      </w:pPr>
    </w:p>
    <w:p w:rsidR="00673C9F" w:rsidRDefault="00673C9F" w:rsidP="00673C9F">
      <w:pPr>
        <w:pStyle w:val="NoSpacing"/>
        <w:rPr>
          <w:rFonts w:ascii="Garamond" w:hAnsi="Garamond"/>
        </w:rPr>
      </w:pPr>
      <w:r>
        <w:rPr>
          <w:rFonts w:ascii="Garamond" w:hAnsi="Garamond"/>
        </w:rPr>
        <w:t>Edited visualization looks much better</w:t>
      </w:r>
      <w:r w:rsidR="004155ED">
        <w:rPr>
          <w:rFonts w:ascii="Garamond" w:hAnsi="Garamond"/>
        </w:rPr>
        <w:t xml:space="preserve"> (here I have also color-coded by region; we are up to a 4-way scatterplot)</w:t>
      </w:r>
      <w:r>
        <w:rPr>
          <w:rFonts w:ascii="Garamond" w:hAnsi="Garamond"/>
        </w:rPr>
        <w:t>:</w:t>
      </w:r>
    </w:p>
    <w:p w:rsidR="00673C9F" w:rsidRDefault="00673C9F" w:rsidP="00673C9F">
      <w:pPr>
        <w:pStyle w:val="NoSpacing"/>
        <w:rPr>
          <w:rFonts w:ascii="Garamond" w:hAnsi="Garamond"/>
        </w:rPr>
      </w:pPr>
    </w:p>
    <w:p w:rsidR="00673C9F" w:rsidRDefault="004155ED" w:rsidP="00673C9F">
      <w:pPr>
        <w:pStyle w:val="NoSpacing"/>
        <w:jc w:val="center"/>
        <w:rPr>
          <w:rFonts w:ascii="Garamond" w:hAnsi="Garamond"/>
        </w:rPr>
      </w:pPr>
      <w:r>
        <w:rPr>
          <w:noProof/>
        </w:rPr>
        <w:drawing>
          <wp:inline distT="0" distB="0" distL="0" distR="0" wp14:anchorId="36C602E4" wp14:editId="37A2C270">
            <wp:extent cx="3752850" cy="2687537"/>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850" cy="2687537"/>
                    </a:xfrm>
                    <a:prstGeom prst="rect">
                      <a:avLst/>
                    </a:prstGeom>
                  </pic:spPr>
                </pic:pic>
              </a:graphicData>
            </a:graphic>
          </wp:inline>
        </w:drawing>
      </w:r>
    </w:p>
    <w:p w:rsidR="00673C9F" w:rsidRDefault="00673C9F" w:rsidP="00673C9F">
      <w:pPr>
        <w:pStyle w:val="NoSpacing"/>
        <w:rPr>
          <w:rFonts w:ascii="Garamond" w:hAnsi="Garamond"/>
        </w:rPr>
      </w:pPr>
    </w:p>
    <w:p w:rsidR="00673C9F" w:rsidRDefault="00673C9F" w:rsidP="00673C9F">
      <w:pPr>
        <w:pStyle w:val="NoSpacing"/>
        <w:rPr>
          <w:rFonts w:ascii="Garamond" w:hAnsi="Garamond"/>
        </w:rPr>
      </w:pPr>
      <w:r>
        <w:rPr>
          <w:rFonts w:ascii="Garamond" w:hAnsi="Garamond"/>
        </w:rPr>
        <w:t xml:space="preserve">It might be interesting to see how this relationship changes over time.  </w:t>
      </w:r>
      <w:r w:rsidR="004155ED">
        <w:rPr>
          <w:rFonts w:ascii="Garamond" w:hAnsi="Garamond"/>
        </w:rPr>
        <w:t>If we drag Year to Pages instead of Filter, we get a filtered-by-year scatterplot with a “control panel”:</w:t>
      </w:r>
    </w:p>
    <w:p w:rsidR="004155ED" w:rsidRDefault="004155ED" w:rsidP="004155ED">
      <w:pPr>
        <w:pStyle w:val="NoSpacing"/>
        <w:jc w:val="center"/>
        <w:rPr>
          <w:rFonts w:ascii="Garamond" w:hAnsi="Garamond"/>
        </w:rPr>
      </w:pPr>
      <w:r>
        <w:rPr>
          <w:noProof/>
        </w:rPr>
        <w:drawing>
          <wp:inline distT="0" distB="0" distL="0" distR="0" wp14:anchorId="429AA74A" wp14:editId="4DFB6BFB">
            <wp:extent cx="3867150" cy="240787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7680" cy="2414436"/>
                    </a:xfrm>
                    <a:prstGeom prst="rect">
                      <a:avLst/>
                    </a:prstGeom>
                  </pic:spPr>
                </pic:pic>
              </a:graphicData>
            </a:graphic>
          </wp:inline>
        </w:drawing>
      </w:r>
    </w:p>
    <w:p w:rsidR="004155ED" w:rsidRDefault="004155ED" w:rsidP="004155ED">
      <w:pPr>
        <w:pStyle w:val="NoSpacing"/>
        <w:rPr>
          <w:rFonts w:ascii="Garamond" w:hAnsi="Garamond"/>
        </w:rPr>
      </w:pPr>
    </w:p>
    <w:p w:rsidR="004155ED" w:rsidRDefault="004155ED" w:rsidP="004155ED">
      <w:pPr>
        <w:pStyle w:val="NoSpacing"/>
        <w:rPr>
          <w:rFonts w:ascii="Garamond" w:hAnsi="Garamond"/>
        </w:rPr>
      </w:pPr>
      <w:r>
        <w:rPr>
          <w:rFonts w:ascii="Garamond" w:hAnsi="Garamond"/>
        </w:rPr>
        <w:t>Let’s take a look at that control panel:</w:t>
      </w:r>
    </w:p>
    <w:p w:rsidR="004155ED" w:rsidRDefault="004155ED" w:rsidP="004155ED">
      <w:pPr>
        <w:pStyle w:val="NoSpacing"/>
        <w:rPr>
          <w:rFonts w:ascii="Garamond" w:hAnsi="Garamond"/>
        </w:rPr>
      </w:pPr>
    </w:p>
    <w:p w:rsidR="004155ED" w:rsidRDefault="004155ED" w:rsidP="004155ED">
      <w:pPr>
        <w:pStyle w:val="NoSpacing"/>
        <w:jc w:val="center"/>
        <w:rPr>
          <w:rFonts w:ascii="Garamond" w:hAnsi="Garamond"/>
        </w:rPr>
      </w:pPr>
      <w:r>
        <w:rPr>
          <w:noProof/>
        </w:rPr>
        <w:drawing>
          <wp:inline distT="0" distB="0" distL="0" distR="0" wp14:anchorId="6382CD79" wp14:editId="28249F60">
            <wp:extent cx="1533525" cy="11144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3525" cy="1114425"/>
                    </a:xfrm>
                    <a:prstGeom prst="rect">
                      <a:avLst/>
                    </a:prstGeom>
                  </pic:spPr>
                </pic:pic>
              </a:graphicData>
            </a:graphic>
          </wp:inline>
        </w:drawing>
      </w:r>
    </w:p>
    <w:p w:rsidR="00673C9F" w:rsidRDefault="00673C9F" w:rsidP="00673C9F">
      <w:pPr>
        <w:pStyle w:val="NoSpacing"/>
        <w:rPr>
          <w:rFonts w:ascii="Garamond" w:hAnsi="Garamond"/>
        </w:rPr>
      </w:pPr>
    </w:p>
    <w:p w:rsidR="00673C9F" w:rsidRDefault="004155ED" w:rsidP="00673C9F">
      <w:pPr>
        <w:pStyle w:val="NoSpacing"/>
        <w:rPr>
          <w:rFonts w:ascii="Garamond" w:hAnsi="Garamond"/>
        </w:rPr>
      </w:pPr>
      <w:r>
        <w:rPr>
          <w:rFonts w:ascii="Garamond" w:hAnsi="Garamond"/>
        </w:rPr>
        <w:t xml:space="preserve">Clicking “Play” will now show the scatterplot for each year.  The three highlighted buttons on the right control the speed of the animation.  Note that Internet Usage is only measured for most countries starting in 1991 and does not have 2015 data available yet; hence we probably want to add </w:t>
      </w:r>
      <w:r>
        <w:rPr>
          <w:rFonts w:ascii="Garamond" w:hAnsi="Garamond"/>
          <w:b/>
        </w:rPr>
        <w:t xml:space="preserve">another </w:t>
      </w:r>
      <w:r>
        <w:rPr>
          <w:rFonts w:ascii="Garamond" w:hAnsi="Garamond"/>
        </w:rPr>
        <w:t>instance of Year to Filter, and include only the years 1991-2</w:t>
      </w:r>
      <w:r w:rsidR="00971B5A">
        <w:rPr>
          <w:rFonts w:ascii="Garamond" w:hAnsi="Garamond"/>
        </w:rPr>
        <w:t>014</w:t>
      </w:r>
      <w:r>
        <w:rPr>
          <w:rFonts w:ascii="Garamond" w:hAnsi="Garamond"/>
        </w:rPr>
        <w:t xml:space="preserve">.  You can also check “Show history,” and have the points “tracked” over time.  </w:t>
      </w:r>
    </w:p>
    <w:p w:rsidR="004155ED" w:rsidRDefault="004155ED" w:rsidP="00673C9F">
      <w:pPr>
        <w:pStyle w:val="NoSpacing"/>
        <w:rPr>
          <w:rFonts w:ascii="Garamond" w:hAnsi="Garamond"/>
        </w:rPr>
      </w:pPr>
    </w:p>
    <w:p w:rsidR="004155ED" w:rsidRDefault="004155ED" w:rsidP="00673C9F">
      <w:pPr>
        <w:pStyle w:val="NoSpacing"/>
        <w:rPr>
          <w:rFonts w:ascii="Garamond" w:hAnsi="Garamond"/>
        </w:rPr>
      </w:pPr>
      <w:r>
        <w:rPr>
          <w:rFonts w:ascii="Garamond" w:hAnsi="Garamond"/>
        </w:rPr>
        <w:t>Adding a</w:t>
      </w:r>
      <w:r w:rsidR="001B3F4D">
        <w:rPr>
          <w:rFonts w:ascii="Garamond" w:hAnsi="Garamond"/>
        </w:rPr>
        <w:t>ll the bells and whistles:</w:t>
      </w:r>
    </w:p>
    <w:p w:rsidR="004155ED" w:rsidRDefault="004155ED" w:rsidP="00673C9F">
      <w:pPr>
        <w:pStyle w:val="NoSpacing"/>
        <w:rPr>
          <w:rFonts w:ascii="Garamond" w:hAnsi="Garamond"/>
        </w:rPr>
      </w:pPr>
    </w:p>
    <w:p w:rsidR="004155ED" w:rsidRDefault="004155ED" w:rsidP="00673C9F">
      <w:pPr>
        <w:pStyle w:val="NoSpacing"/>
        <w:rPr>
          <w:rFonts w:ascii="Garamond" w:hAnsi="Garamond"/>
        </w:rPr>
      </w:pPr>
      <w:r>
        <w:rPr>
          <w:noProof/>
        </w:rPr>
        <w:drawing>
          <wp:inline distT="0" distB="0" distL="0" distR="0" wp14:anchorId="752AEFB3" wp14:editId="2E30F6BB">
            <wp:extent cx="5650302" cy="3500186"/>
            <wp:effectExtent l="0" t="0" r="762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143" t="8360" r="-160" b="10349"/>
                    <a:stretch/>
                  </pic:blipFill>
                  <pic:spPr bwMode="auto">
                    <a:xfrm>
                      <a:off x="0" y="0"/>
                      <a:ext cx="5656175" cy="3503824"/>
                    </a:xfrm>
                    <a:prstGeom prst="rect">
                      <a:avLst/>
                    </a:prstGeom>
                    <a:ln>
                      <a:noFill/>
                    </a:ln>
                    <a:extLst>
                      <a:ext uri="{53640926-AAD7-44D8-BBD7-CCE9431645EC}">
                        <a14:shadowObscured xmlns:a14="http://schemas.microsoft.com/office/drawing/2010/main"/>
                      </a:ext>
                    </a:extLst>
                  </pic:spPr>
                </pic:pic>
              </a:graphicData>
            </a:graphic>
          </wp:inline>
        </w:drawing>
      </w:r>
    </w:p>
    <w:p w:rsidR="004155ED" w:rsidRPr="004155ED" w:rsidRDefault="004155ED" w:rsidP="00673C9F">
      <w:pPr>
        <w:pStyle w:val="NoSpacing"/>
        <w:rPr>
          <w:rFonts w:ascii="Garamond" w:hAnsi="Garamond"/>
        </w:rPr>
      </w:pPr>
    </w:p>
    <w:p w:rsidR="001B3F4D" w:rsidRDefault="001B3F4D" w:rsidP="00673C9F">
      <w:pPr>
        <w:pStyle w:val="NoSpacing"/>
        <w:rPr>
          <w:rFonts w:ascii="Garamond" w:hAnsi="Garamond"/>
        </w:rPr>
      </w:pPr>
      <w:r>
        <w:rPr>
          <w:rFonts w:ascii="Garamond" w:hAnsi="Garamond"/>
        </w:rPr>
        <w:lastRenderedPageBreak/>
        <w:t>You can also have the trails of the pages tracked; but this is not recommended!  (Unless, that is, you want your visualization to look like a two-year-old finger-painted all over it):</w:t>
      </w:r>
      <w:r>
        <w:rPr>
          <w:noProof/>
        </w:rPr>
        <w:drawing>
          <wp:inline distT="0" distB="0" distL="0" distR="0" wp14:anchorId="04755945" wp14:editId="578C6DBC">
            <wp:extent cx="5943600" cy="44602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0240"/>
                    </a:xfrm>
                    <a:prstGeom prst="rect">
                      <a:avLst/>
                    </a:prstGeom>
                  </pic:spPr>
                </pic:pic>
              </a:graphicData>
            </a:graphic>
          </wp:inline>
        </w:drawing>
      </w:r>
    </w:p>
    <w:p w:rsidR="001B3F4D" w:rsidRDefault="001B3F4D" w:rsidP="00673C9F">
      <w:pPr>
        <w:pStyle w:val="NoSpacing"/>
        <w:rPr>
          <w:rFonts w:ascii="Garamond" w:hAnsi="Garamond"/>
        </w:rPr>
      </w:pPr>
    </w:p>
    <w:p w:rsidR="001B3F4D" w:rsidRDefault="001B3F4D" w:rsidP="00673C9F">
      <w:pPr>
        <w:pStyle w:val="NoSpacing"/>
        <w:rPr>
          <w:rFonts w:ascii="Garamond" w:hAnsi="Garamond"/>
        </w:rPr>
      </w:pPr>
      <w:r>
        <w:rPr>
          <w:rFonts w:ascii="Garamond" w:hAnsi="Garamond"/>
        </w:rPr>
        <w:t xml:space="preserve">For most animations, tracking history makes the most sense if the X-axis is time.  For this scatterplot, there is </w:t>
      </w:r>
      <w:r w:rsidR="00A46FCA">
        <w:rPr>
          <w:rFonts w:ascii="Garamond" w:hAnsi="Garamond"/>
        </w:rPr>
        <w:t>not much</w:t>
      </w:r>
      <w:r>
        <w:rPr>
          <w:rFonts w:ascii="Garamond" w:hAnsi="Garamond"/>
        </w:rPr>
        <w:t xml:space="preserve"> gained by tracking the history and it clutters the image.  Hence, history probably shouldn’t be tracked here.    </w:t>
      </w:r>
    </w:p>
    <w:p w:rsidR="001B3F4D" w:rsidRDefault="001B3F4D"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A46FCA" w:rsidRDefault="00A46FCA" w:rsidP="00673C9F">
      <w:pPr>
        <w:pStyle w:val="NoSpacing"/>
        <w:rPr>
          <w:rFonts w:ascii="Garamond" w:hAnsi="Garamond"/>
        </w:rPr>
      </w:pPr>
    </w:p>
    <w:p w:rsidR="002F2E25" w:rsidRDefault="002F2E25" w:rsidP="00673C9F">
      <w:pPr>
        <w:pStyle w:val="NoSpacing"/>
        <w:rPr>
          <w:rFonts w:ascii="Garamond" w:hAnsi="Garamond"/>
        </w:rPr>
      </w:pPr>
      <w:r>
        <w:rPr>
          <w:rFonts w:ascii="Garamond" w:hAnsi="Garamond"/>
          <w:b/>
        </w:rPr>
        <w:lastRenderedPageBreak/>
        <w:t>Changing the “Size” variable using a parameter</w:t>
      </w:r>
    </w:p>
    <w:p w:rsidR="002F2E25" w:rsidRDefault="002F2E25" w:rsidP="00673C9F">
      <w:pPr>
        <w:pStyle w:val="NoSpacing"/>
        <w:rPr>
          <w:rFonts w:ascii="Garamond" w:hAnsi="Garamond"/>
        </w:rPr>
      </w:pPr>
    </w:p>
    <w:p w:rsidR="002F2E25" w:rsidRDefault="002F2E25" w:rsidP="00673C9F">
      <w:pPr>
        <w:pStyle w:val="NoSpacing"/>
        <w:rPr>
          <w:rFonts w:ascii="Garamond" w:hAnsi="Garamond"/>
        </w:rPr>
      </w:pPr>
      <w:r>
        <w:rPr>
          <w:rFonts w:ascii="Garamond" w:hAnsi="Garamond"/>
        </w:rPr>
        <w:t>Suppose we want the viewer to have the option of sizing the points by Fertility Rate or CO</w:t>
      </w:r>
      <w:r>
        <w:rPr>
          <w:rFonts w:ascii="Garamond" w:hAnsi="Garamond"/>
          <w:vertAlign w:val="subscript"/>
        </w:rPr>
        <w:t>2</w:t>
      </w:r>
      <w:r>
        <w:rPr>
          <w:rFonts w:ascii="Garamond" w:hAnsi="Garamond"/>
        </w:rPr>
        <w:t xml:space="preserve"> emissions</w:t>
      </w:r>
      <w:r w:rsidR="00A46FCA">
        <w:rPr>
          <w:rFonts w:ascii="Garamond" w:hAnsi="Garamond"/>
        </w:rPr>
        <w:t>, similar to the Gapminder tool</w:t>
      </w:r>
      <w:r>
        <w:rPr>
          <w:rFonts w:ascii="Garamond" w:hAnsi="Garamond"/>
        </w:rPr>
        <w:t xml:space="preserve">.  We can allow this flexibility using a </w:t>
      </w:r>
      <w:r>
        <w:rPr>
          <w:rFonts w:ascii="Garamond" w:hAnsi="Garamond"/>
          <w:b/>
          <w:i/>
        </w:rPr>
        <w:t>parameter</w:t>
      </w:r>
      <w:r>
        <w:rPr>
          <w:rFonts w:ascii="Garamond" w:hAnsi="Garamond"/>
        </w:rPr>
        <w:t xml:space="preserve">.  </w:t>
      </w:r>
      <w:r w:rsidR="000379F6">
        <w:rPr>
          <w:rFonts w:ascii="Garamond" w:hAnsi="Garamond"/>
          <w:b/>
          <w:i/>
        </w:rPr>
        <w:t>Parameters</w:t>
      </w:r>
      <w:r w:rsidR="000379F6">
        <w:rPr>
          <w:rFonts w:ascii="Garamond" w:hAnsi="Garamond"/>
        </w:rPr>
        <w:t xml:space="preserve"> allow for entire fields mapped to certain EPTs on the visualization to be selected by the viewer.  </w:t>
      </w:r>
    </w:p>
    <w:p w:rsidR="000379F6" w:rsidRDefault="000379F6" w:rsidP="00673C9F">
      <w:pPr>
        <w:pStyle w:val="NoSpacing"/>
        <w:rPr>
          <w:rFonts w:ascii="Garamond" w:hAnsi="Garamond"/>
        </w:rPr>
      </w:pPr>
    </w:p>
    <w:p w:rsidR="000379F6" w:rsidRDefault="000379F6" w:rsidP="000379F6">
      <w:pPr>
        <w:pStyle w:val="NoSpacing"/>
        <w:numPr>
          <w:ilvl w:val="0"/>
          <w:numId w:val="14"/>
        </w:numPr>
        <w:rPr>
          <w:rFonts w:ascii="Garamond" w:hAnsi="Garamond"/>
        </w:rPr>
      </w:pPr>
      <w:r>
        <w:rPr>
          <w:rFonts w:ascii="Garamond" w:hAnsi="Garamond"/>
        </w:rPr>
        <w:t xml:space="preserve">Right-click in the data window </w:t>
      </w:r>
      <w:r w:rsidRPr="000379F6">
        <w:rPr>
          <w:rFonts w:ascii="Garamond" w:hAnsi="Garamond"/>
        </w:rPr>
        <w:sym w:font="Wingdings" w:char="F0E0"/>
      </w:r>
      <w:r>
        <w:rPr>
          <w:rFonts w:ascii="Garamond" w:hAnsi="Garamond"/>
        </w:rPr>
        <w:t xml:space="preserve"> Create </w:t>
      </w:r>
      <w:r w:rsidRPr="000379F6">
        <w:rPr>
          <w:rFonts w:ascii="Garamond" w:hAnsi="Garamond"/>
        </w:rPr>
        <w:sym w:font="Wingdings" w:char="F0E0"/>
      </w:r>
      <w:r>
        <w:rPr>
          <w:rFonts w:ascii="Garamond" w:hAnsi="Garamond"/>
        </w:rPr>
        <w:t xml:space="preserve"> Parameter:</w:t>
      </w:r>
    </w:p>
    <w:p w:rsidR="000379F6" w:rsidRDefault="000379F6" w:rsidP="000379F6">
      <w:pPr>
        <w:pStyle w:val="NoSpacing"/>
        <w:ind w:left="720"/>
        <w:rPr>
          <w:rFonts w:ascii="Garamond" w:hAnsi="Garamond"/>
        </w:rPr>
      </w:pPr>
    </w:p>
    <w:p w:rsidR="000379F6" w:rsidRDefault="000379F6" w:rsidP="000379F6">
      <w:pPr>
        <w:pStyle w:val="NoSpacing"/>
        <w:ind w:left="720"/>
        <w:jc w:val="center"/>
        <w:rPr>
          <w:rFonts w:ascii="Garamond" w:hAnsi="Garamond"/>
        </w:rPr>
      </w:pPr>
      <w:r>
        <w:rPr>
          <w:noProof/>
        </w:rPr>
        <w:drawing>
          <wp:inline distT="0" distB="0" distL="0" distR="0" wp14:anchorId="67243717" wp14:editId="41366C36">
            <wp:extent cx="1752600" cy="1388673"/>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807" t="33914" r="74601" b="41248"/>
                    <a:stretch/>
                  </pic:blipFill>
                  <pic:spPr bwMode="auto">
                    <a:xfrm>
                      <a:off x="0" y="0"/>
                      <a:ext cx="1769339" cy="1401936"/>
                    </a:xfrm>
                    <a:prstGeom prst="rect">
                      <a:avLst/>
                    </a:prstGeom>
                    <a:ln>
                      <a:noFill/>
                    </a:ln>
                    <a:extLst>
                      <a:ext uri="{53640926-AAD7-44D8-BBD7-CCE9431645EC}">
                        <a14:shadowObscured xmlns:a14="http://schemas.microsoft.com/office/drawing/2010/main"/>
                      </a:ext>
                    </a:extLst>
                  </pic:spPr>
                </pic:pic>
              </a:graphicData>
            </a:graphic>
          </wp:inline>
        </w:drawing>
      </w:r>
    </w:p>
    <w:p w:rsidR="000379F6" w:rsidRPr="000379F6" w:rsidRDefault="000379F6" w:rsidP="000379F6">
      <w:pPr>
        <w:pStyle w:val="NoSpacing"/>
        <w:numPr>
          <w:ilvl w:val="0"/>
          <w:numId w:val="14"/>
        </w:numPr>
        <w:rPr>
          <w:rFonts w:ascii="Garamond" w:hAnsi="Garamond"/>
        </w:rPr>
      </w:pPr>
      <w:r>
        <w:rPr>
          <w:rFonts w:ascii="Garamond" w:hAnsi="Garamond"/>
        </w:rPr>
        <w:t>Complete the parameter dialogue box as shown below:</w:t>
      </w:r>
    </w:p>
    <w:p w:rsidR="000379F6" w:rsidRDefault="000379F6" w:rsidP="000379F6">
      <w:pPr>
        <w:pStyle w:val="NoSpacing"/>
        <w:jc w:val="center"/>
        <w:rPr>
          <w:rFonts w:ascii="Garamond" w:hAnsi="Garamond"/>
        </w:rPr>
      </w:pPr>
      <w:r>
        <w:rPr>
          <w:noProof/>
        </w:rPr>
        <w:drawing>
          <wp:inline distT="0" distB="0" distL="0" distR="0" wp14:anchorId="165C77B5" wp14:editId="51AB9D33">
            <wp:extent cx="3614468" cy="3209399"/>
            <wp:effectExtent l="0" t="0" r="508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236" t="24151" r="33090" b="28010"/>
                    <a:stretch/>
                  </pic:blipFill>
                  <pic:spPr bwMode="auto">
                    <a:xfrm>
                      <a:off x="0" y="0"/>
                      <a:ext cx="3624230" cy="3218067"/>
                    </a:xfrm>
                    <a:prstGeom prst="rect">
                      <a:avLst/>
                    </a:prstGeom>
                    <a:ln>
                      <a:noFill/>
                    </a:ln>
                    <a:extLst>
                      <a:ext uri="{53640926-AAD7-44D8-BBD7-CCE9431645EC}">
                        <a14:shadowObscured xmlns:a14="http://schemas.microsoft.com/office/drawing/2010/main"/>
                      </a:ext>
                    </a:extLst>
                  </pic:spPr>
                </pic:pic>
              </a:graphicData>
            </a:graphic>
          </wp:inline>
        </w:drawing>
      </w:r>
    </w:p>
    <w:p w:rsidR="000379F6" w:rsidRDefault="000379F6" w:rsidP="000379F6">
      <w:pPr>
        <w:pStyle w:val="NoSpacing"/>
        <w:rPr>
          <w:rFonts w:ascii="Garamond" w:hAnsi="Garamond"/>
        </w:rPr>
      </w:pPr>
    </w:p>
    <w:p w:rsidR="000379F6" w:rsidRDefault="000379F6" w:rsidP="000379F6">
      <w:pPr>
        <w:pStyle w:val="NoSpacing"/>
        <w:rPr>
          <w:rFonts w:ascii="Garamond" w:hAnsi="Garamond"/>
        </w:rPr>
      </w:pPr>
      <w:r>
        <w:rPr>
          <w:rFonts w:ascii="Garamond" w:hAnsi="Garamond"/>
        </w:rPr>
        <w:t>The important elements are the “Data Type”, “Value”, and “Display as.”  We want a customized list of strings, and we want the display to show the full names of the variables.  Under “Value,” we list some shorthand; we will use this to create a calculated field that depends on the selected parameter value.</w:t>
      </w:r>
    </w:p>
    <w:p w:rsidR="000379F6" w:rsidRDefault="000379F6" w:rsidP="000379F6">
      <w:pPr>
        <w:pStyle w:val="NoSpacing"/>
        <w:rPr>
          <w:rFonts w:ascii="Garamond" w:hAnsi="Garamond"/>
        </w:rPr>
      </w:pPr>
    </w:p>
    <w:p w:rsidR="00A46FCA" w:rsidRDefault="00A46FCA" w:rsidP="000379F6">
      <w:pPr>
        <w:pStyle w:val="NoSpacing"/>
        <w:rPr>
          <w:rFonts w:ascii="Garamond" w:hAnsi="Garamond"/>
        </w:rPr>
      </w:pPr>
    </w:p>
    <w:p w:rsidR="000379F6" w:rsidRDefault="000379F6" w:rsidP="000379F6">
      <w:pPr>
        <w:pStyle w:val="NoSpacing"/>
        <w:rPr>
          <w:rFonts w:ascii="Garamond" w:hAnsi="Garamond"/>
        </w:rPr>
      </w:pPr>
      <w:r>
        <w:rPr>
          <w:rFonts w:ascii="Garamond" w:hAnsi="Garamond"/>
        </w:rPr>
        <w:lastRenderedPageBreak/>
        <w:t xml:space="preserve">Click “OK,” then right-click on the newly created parameter </w:t>
      </w:r>
      <w:r w:rsidRPr="000379F6">
        <w:rPr>
          <w:rFonts w:ascii="Garamond" w:hAnsi="Garamond"/>
        </w:rPr>
        <w:sym w:font="Wingdings" w:char="F0E0"/>
      </w:r>
      <w:r>
        <w:rPr>
          <w:rFonts w:ascii="Garamond" w:hAnsi="Garamond"/>
        </w:rPr>
        <w:t xml:space="preserve"> “</w:t>
      </w:r>
      <w:r>
        <w:rPr>
          <w:rFonts w:ascii="Garamond" w:hAnsi="Garamond"/>
          <w:b/>
        </w:rPr>
        <w:t>Show Parameter Control</w:t>
      </w:r>
      <w:r>
        <w:rPr>
          <w:rFonts w:ascii="Garamond" w:hAnsi="Garamond"/>
        </w:rPr>
        <w:t>.”  Note the control that appears on the worksheet:</w:t>
      </w:r>
    </w:p>
    <w:p w:rsidR="000379F6" w:rsidRDefault="000379F6" w:rsidP="000379F6">
      <w:pPr>
        <w:pStyle w:val="NoSpacing"/>
        <w:jc w:val="center"/>
        <w:rPr>
          <w:rFonts w:ascii="Garamond" w:hAnsi="Garamond"/>
        </w:rPr>
      </w:pPr>
      <w:r>
        <w:rPr>
          <w:noProof/>
        </w:rPr>
        <w:drawing>
          <wp:inline distT="0" distB="0" distL="0" distR="0" wp14:anchorId="66E7E8C6" wp14:editId="16EFDB66">
            <wp:extent cx="2505075" cy="5810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075" cy="581025"/>
                    </a:xfrm>
                    <a:prstGeom prst="rect">
                      <a:avLst/>
                    </a:prstGeom>
                  </pic:spPr>
                </pic:pic>
              </a:graphicData>
            </a:graphic>
          </wp:inline>
        </w:drawing>
      </w:r>
    </w:p>
    <w:p w:rsidR="000379F6" w:rsidRDefault="000379F6" w:rsidP="000379F6">
      <w:pPr>
        <w:pStyle w:val="NoSpacing"/>
        <w:rPr>
          <w:rFonts w:ascii="Garamond" w:hAnsi="Garamond"/>
        </w:rPr>
      </w:pPr>
    </w:p>
    <w:p w:rsidR="000379F6" w:rsidRDefault="000379F6" w:rsidP="000379F6">
      <w:pPr>
        <w:pStyle w:val="NoSpacing"/>
        <w:rPr>
          <w:rFonts w:ascii="Garamond" w:hAnsi="Garamond"/>
        </w:rPr>
      </w:pPr>
      <w:r>
        <w:rPr>
          <w:rFonts w:ascii="Garamond" w:hAnsi="Garamond"/>
        </w:rPr>
        <w:t>Right now, this doesn’t control anything.  We need to create a calculated field that will respond to the selected values on this control.</w:t>
      </w:r>
    </w:p>
    <w:p w:rsidR="000379F6" w:rsidRDefault="000379F6" w:rsidP="000379F6">
      <w:pPr>
        <w:pStyle w:val="NoSpacing"/>
        <w:rPr>
          <w:rFonts w:ascii="Garamond" w:hAnsi="Garamond"/>
        </w:rPr>
      </w:pPr>
    </w:p>
    <w:p w:rsidR="000379F6" w:rsidRDefault="000379F6" w:rsidP="000379F6">
      <w:pPr>
        <w:pStyle w:val="NoSpacing"/>
        <w:numPr>
          <w:ilvl w:val="0"/>
          <w:numId w:val="14"/>
        </w:numPr>
        <w:rPr>
          <w:rFonts w:ascii="Garamond" w:hAnsi="Garamond"/>
        </w:rPr>
      </w:pPr>
      <w:r>
        <w:rPr>
          <w:rFonts w:ascii="Garamond" w:hAnsi="Garamond"/>
        </w:rPr>
        <w:t xml:space="preserve">Right-click in the data pane </w:t>
      </w:r>
      <w:r w:rsidRPr="000379F6">
        <w:rPr>
          <w:rFonts w:ascii="Garamond" w:hAnsi="Garamond"/>
        </w:rPr>
        <w:sym w:font="Wingdings" w:char="F0E0"/>
      </w:r>
      <w:r>
        <w:rPr>
          <w:rFonts w:ascii="Garamond" w:hAnsi="Garamond"/>
        </w:rPr>
        <w:t xml:space="preserve"> Create </w:t>
      </w:r>
      <w:r w:rsidRPr="000379F6">
        <w:rPr>
          <w:rFonts w:ascii="Garamond" w:hAnsi="Garamond"/>
        </w:rPr>
        <w:sym w:font="Wingdings" w:char="F0E0"/>
      </w:r>
      <w:r>
        <w:rPr>
          <w:rFonts w:ascii="Garamond" w:hAnsi="Garamond"/>
        </w:rPr>
        <w:t xml:space="preserve"> Calculated field.  Fill out the dialogue box as shown.  Note the use of “TFR” and “CO2,” which come from the parameter values we specified:</w:t>
      </w:r>
    </w:p>
    <w:p w:rsidR="000379F6" w:rsidRDefault="000379F6" w:rsidP="000379F6">
      <w:pPr>
        <w:pStyle w:val="NoSpacing"/>
        <w:rPr>
          <w:rFonts w:ascii="Garamond" w:hAnsi="Garamond"/>
        </w:rPr>
      </w:pPr>
    </w:p>
    <w:p w:rsidR="000379F6" w:rsidRPr="000379F6" w:rsidRDefault="000379F6" w:rsidP="000379F6">
      <w:pPr>
        <w:pStyle w:val="NoSpacing"/>
        <w:jc w:val="center"/>
        <w:rPr>
          <w:rFonts w:ascii="Garamond" w:hAnsi="Garamond"/>
        </w:rPr>
      </w:pPr>
      <w:r>
        <w:rPr>
          <w:noProof/>
        </w:rPr>
        <w:drawing>
          <wp:inline distT="0" distB="0" distL="0" distR="0" wp14:anchorId="688B80DF" wp14:editId="6D46A36A">
            <wp:extent cx="3579962" cy="1452113"/>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9689" cy="1460115"/>
                    </a:xfrm>
                    <a:prstGeom prst="rect">
                      <a:avLst/>
                    </a:prstGeom>
                  </pic:spPr>
                </pic:pic>
              </a:graphicData>
            </a:graphic>
          </wp:inline>
        </w:drawing>
      </w:r>
    </w:p>
    <w:p w:rsidR="00362BB5" w:rsidRDefault="00362BB5" w:rsidP="00362BB5">
      <w:pPr>
        <w:pStyle w:val="NoSpacing"/>
        <w:numPr>
          <w:ilvl w:val="0"/>
          <w:numId w:val="14"/>
        </w:numPr>
        <w:rPr>
          <w:rFonts w:ascii="Garamond" w:hAnsi="Garamond"/>
        </w:rPr>
      </w:pPr>
      <w:r>
        <w:rPr>
          <w:rFonts w:ascii="Garamond" w:hAnsi="Garamond"/>
        </w:rPr>
        <w:t>Now drag this new “Size field” to size.  Sizing will now be determined by whatever parameter value is selected:</w:t>
      </w:r>
    </w:p>
    <w:p w:rsidR="00362BB5" w:rsidRDefault="00362BB5" w:rsidP="00362BB5">
      <w:pPr>
        <w:pStyle w:val="NoSpacing"/>
        <w:rPr>
          <w:rFonts w:ascii="Garamond" w:hAnsi="Garamond"/>
        </w:rPr>
      </w:pPr>
    </w:p>
    <w:p w:rsidR="00362BB5" w:rsidRDefault="00362BB5" w:rsidP="00362BB5">
      <w:pPr>
        <w:pStyle w:val="NoSpacing"/>
        <w:jc w:val="center"/>
        <w:rPr>
          <w:rFonts w:ascii="Garamond" w:hAnsi="Garamond"/>
        </w:rPr>
      </w:pPr>
      <w:r>
        <w:rPr>
          <w:noProof/>
        </w:rPr>
        <w:drawing>
          <wp:inline distT="0" distB="0" distL="0" distR="0" wp14:anchorId="227E2721" wp14:editId="54057008">
            <wp:extent cx="4943014" cy="31432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7707" cy="3158952"/>
                    </a:xfrm>
                    <a:prstGeom prst="rect">
                      <a:avLst/>
                    </a:prstGeom>
                  </pic:spPr>
                </pic:pic>
              </a:graphicData>
            </a:graphic>
          </wp:inline>
        </w:drawing>
      </w:r>
    </w:p>
    <w:p w:rsidR="00362BB5" w:rsidRDefault="00362BB5" w:rsidP="00362BB5">
      <w:pPr>
        <w:pStyle w:val="NoSpacing"/>
        <w:rPr>
          <w:rFonts w:ascii="Garamond" w:hAnsi="Garamond"/>
        </w:rPr>
      </w:pPr>
    </w:p>
    <w:p w:rsidR="00362BB5" w:rsidRDefault="00362BB5" w:rsidP="00362BB5">
      <w:pPr>
        <w:pStyle w:val="NoSpacing"/>
        <w:numPr>
          <w:ilvl w:val="0"/>
          <w:numId w:val="14"/>
        </w:numPr>
        <w:rPr>
          <w:rFonts w:ascii="Garamond" w:hAnsi="Garamond"/>
        </w:rPr>
      </w:pPr>
      <w:r>
        <w:rPr>
          <w:rFonts w:ascii="Garamond" w:hAnsi="Garamond"/>
        </w:rPr>
        <w:lastRenderedPageBreak/>
        <w:t xml:space="preserve">We can also get the title to reflect the sizing in the “Edit Title” dialogue box.  Double-click on the title, then click “Insert” to have the title reflect the currently-selected parameter value (note that “Size Parameter” must be on Detail to have the option of adding it via the Insert menu): </w:t>
      </w:r>
    </w:p>
    <w:p w:rsidR="00362BB5" w:rsidRDefault="00362BB5" w:rsidP="00362BB5">
      <w:pPr>
        <w:pStyle w:val="NoSpacing"/>
        <w:rPr>
          <w:rFonts w:ascii="Garamond" w:hAnsi="Garamond"/>
        </w:rPr>
      </w:pPr>
    </w:p>
    <w:p w:rsidR="00362BB5" w:rsidRPr="00362BB5" w:rsidRDefault="00362BB5" w:rsidP="00362BB5">
      <w:pPr>
        <w:pStyle w:val="NoSpacing"/>
        <w:jc w:val="center"/>
        <w:rPr>
          <w:rFonts w:ascii="Garamond" w:hAnsi="Garamond"/>
        </w:rPr>
      </w:pPr>
      <w:r>
        <w:rPr>
          <w:noProof/>
        </w:rPr>
        <w:drawing>
          <wp:inline distT="0" distB="0" distL="0" distR="0" wp14:anchorId="2B038C25" wp14:editId="7F826B85">
            <wp:extent cx="4459856" cy="2619571"/>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075"/>
                    <a:stretch/>
                  </pic:blipFill>
                  <pic:spPr bwMode="auto">
                    <a:xfrm>
                      <a:off x="0" y="0"/>
                      <a:ext cx="4470719" cy="2625951"/>
                    </a:xfrm>
                    <a:prstGeom prst="rect">
                      <a:avLst/>
                    </a:prstGeom>
                    <a:ln>
                      <a:noFill/>
                    </a:ln>
                    <a:extLst>
                      <a:ext uri="{53640926-AAD7-44D8-BBD7-CCE9431645EC}">
                        <a14:shadowObscured xmlns:a14="http://schemas.microsoft.com/office/drawing/2010/main"/>
                      </a:ext>
                    </a:extLst>
                  </pic:spPr>
                </pic:pic>
              </a:graphicData>
            </a:graphic>
          </wp:inline>
        </w:drawing>
      </w:r>
    </w:p>
    <w:p w:rsidR="000379F6" w:rsidRDefault="000379F6" w:rsidP="000379F6">
      <w:pPr>
        <w:pStyle w:val="NoSpacing"/>
        <w:rPr>
          <w:rFonts w:ascii="Garamond" w:hAnsi="Garamond"/>
        </w:rPr>
      </w:pPr>
    </w:p>
    <w:p w:rsidR="000379F6" w:rsidRDefault="000379F6" w:rsidP="00362BB5">
      <w:pPr>
        <w:pStyle w:val="NoSpacing"/>
        <w:rPr>
          <w:rFonts w:ascii="Garamond" w:hAnsi="Garamond"/>
        </w:rPr>
      </w:pPr>
    </w:p>
    <w:p w:rsidR="00362BB5" w:rsidRDefault="00362BB5" w:rsidP="00362BB5">
      <w:pPr>
        <w:pStyle w:val="NoSpacing"/>
        <w:rPr>
          <w:rFonts w:ascii="Garamond" w:hAnsi="Garamond"/>
        </w:rPr>
      </w:pPr>
    </w:p>
    <w:p w:rsidR="00362BB5" w:rsidRDefault="00362BB5" w:rsidP="00362BB5">
      <w:pPr>
        <w:pStyle w:val="NoSpacing"/>
        <w:rPr>
          <w:rFonts w:ascii="Garamond" w:hAnsi="Garamond"/>
        </w:rPr>
      </w:pPr>
    </w:p>
    <w:p w:rsidR="00362BB5" w:rsidRDefault="00203BBF" w:rsidP="00362BB5">
      <w:pPr>
        <w:pStyle w:val="NoSpacing"/>
        <w:rPr>
          <w:rFonts w:ascii="Garamond" w:hAnsi="Garamond"/>
        </w:rPr>
      </w:pPr>
      <w:r>
        <w:rPr>
          <w:rFonts w:ascii="Garamond" w:hAnsi="Garamond"/>
        </w:rPr>
        <w:t>Note that a parameter could also very similarly be used to control which field is visualized on the X- and/or Y-axis.</w:t>
      </w:r>
    </w:p>
    <w:p w:rsidR="00362BB5" w:rsidRDefault="00362BB5"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A46FCA" w:rsidRDefault="00A46FCA" w:rsidP="00362BB5">
      <w:pPr>
        <w:pStyle w:val="NoSpacing"/>
        <w:rPr>
          <w:rFonts w:ascii="Garamond" w:hAnsi="Garamond"/>
        </w:rPr>
      </w:pPr>
    </w:p>
    <w:p w:rsidR="00362BB5" w:rsidRDefault="00362BB5" w:rsidP="00362BB5">
      <w:pPr>
        <w:pStyle w:val="NoSpacing"/>
        <w:rPr>
          <w:rFonts w:ascii="Garamond" w:hAnsi="Garamond"/>
          <w:b/>
        </w:rPr>
      </w:pPr>
      <w:r>
        <w:rPr>
          <w:rFonts w:ascii="Garamond" w:hAnsi="Garamond"/>
          <w:b/>
        </w:rPr>
        <w:t xml:space="preserve">Grouping </w:t>
      </w:r>
    </w:p>
    <w:p w:rsidR="00971B5A" w:rsidRDefault="00971B5A" w:rsidP="00362BB5">
      <w:pPr>
        <w:pStyle w:val="NoSpacing"/>
        <w:rPr>
          <w:rFonts w:ascii="Garamond" w:hAnsi="Garamond"/>
        </w:rPr>
      </w:pPr>
      <w:r>
        <w:rPr>
          <w:rFonts w:ascii="Garamond" w:hAnsi="Garamond"/>
        </w:rPr>
        <w:t xml:space="preserve">One thing we notice from the scatterplot is the prominence of internet usage in the Scandinavian countries.  </w:t>
      </w:r>
      <w:r w:rsidR="00D00703">
        <w:rPr>
          <w:rFonts w:ascii="Garamond" w:hAnsi="Garamond"/>
        </w:rPr>
        <w:t xml:space="preserve">We can emphasize this on its own worksheet by creating a new field which essentially groups all countries into one of two groups: “Scandinavia” (Denmark, Finland, Iceland, Norway, and Sweden) and everyone else.  </w:t>
      </w:r>
    </w:p>
    <w:p w:rsidR="00D00703" w:rsidRDefault="00D00703" w:rsidP="00362BB5">
      <w:pPr>
        <w:pStyle w:val="NoSpacing"/>
        <w:rPr>
          <w:rFonts w:ascii="Garamond" w:hAnsi="Garamond"/>
        </w:rPr>
      </w:pPr>
    </w:p>
    <w:p w:rsidR="00D00703" w:rsidRDefault="00D00703" w:rsidP="00D00703">
      <w:pPr>
        <w:pStyle w:val="NoSpacing"/>
        <w:numPr>
          <w:ilvl w:val="0"/>
          <w:numId w:val="14"/>
        </w:numPr>
        <w:rPr>
          <w:rFonts w:ascii="Garamond" w:hAnsi="Garamond"/>
        </w:rPr>
      </w:pPr>
      <w:r>
        <w:rPr>
          <w:rFonts w:ascii="Garamond" w:hAnsi="Garamond"/>
        </w:rPr>
        <w:t xml:space="preserve">Right-click on the Country pill </w:t>
      </w:r>
      <w:r w:rsidRPr="00D00703">
        <w:rPr>
          <w:rFonts w:ascii="Garamond" w:hAnsi="Garamond"/>
        </w:rPr>
        <w:sym w:font="Wingdings" w:char="F0E0"/>
      </w:r>
      <w:r>
        <w:rPr>
          <w:rFonts w:ascii="Garamond" w:hAnsi="Garamond"/>
        </w:rPr>
        <w:t xml:space="preserve"> Create </w:t>
      </w:r>
      <w:r w:rsidRPr="00D00703">
        <w:rPr>
          <w:rFonts w:ascii="Garamond" w:hAnsi="Garamond"/>
        </w:rPr>
        <w:sym w:font="Wingdings" w:char="F0E0"/>
      </w:r>
      <w:r>
        <w:rPr>
          <w:rFonts w:ascii="Garamond" w:hAnsi="Garamond"/>
        </w:rPr>
        <w:t xml:space="preserve"> Group</w:t>
      </w:r>
    </w:p>
    <w:p w:rsidR="00D00703" w:rsidRDefault="00D00703" w:rsidP="00D00703">
      <w:pPr>
        <w:pStyle w:val="NoSpacing"/>
        <w:numPr>
          <w:ilvl w:val="0"/>
          <w:numId w:val="14"/>
        </w:numPr>
        <w:rPr>
          <w:rFonts w:ascii="Garamond" w:hAnsi="Garamond"/>
        </w:rPr>
      </w:pPr>
      <w:r>
        <w:rPr>
          <w:rFonts w:ascii="Garamond" w:hAnsi="Garamond"/>
        </w:rPr>
        <w:t xml:space="preserve">Call the field something intuitive.  Then start searching for the Scandinavian countries using the “Find members” window.  </w:t>
      </w:r>
    </w:p>
    <w:p w:rsidR="00D00703" w:rsidRDefault="00D00703" w:rsidP="00D00703">
      <w:pPr>
        <w:pStyle w:val="NoSpacing"/>
        <w:numPr>
          <w:ilvl w:val="0"/>
          <w:numId w:val="14"/>
        </w:numPr>
        <w:rPr>
          <w:rFonts w:ascii="Garamond" w:hAnsi="Garamond"/>
        </w:rPr>
      </w:pPr>
      <w:r>
        <w:rPr>
          <w:rFonts w:ascii="Garamond" w:hAnsi="Garamond"/>
        </w:rPr>
        <w:t>Repeat for each of the Scandinavian countries, adding them to the “Scandinavia” group:</w:t>
      </w:r>
    </w:p>
    <w:p w:rsidR="00D00703" w:rsidRDefault="00D00703" w:rsidP="00D00703">
      <w:pPr>
        <w:pStyle w:val="NoSpacing"/>
        <w:rPr>
          <w:rFonts w:ascii="Garamond" w:hAnsi="Garamond"/>
        </w:rPr>
      </w:pPr>
    </w:p>
    <w:p w:rsidR="00D00703" w:rsidRDefault="00D00703" w:rsidP="00D00703">
      <w:pPr>
        <w:pStyle w:val="NoSpacing"/>
        <w:jc w:val="center"/>
        <w:rPr>
          <w:rFonts w:ascii="Garamond" w:hAnsi="Garamond"/>
        </w:rPr>
      </w:pPr>
      <w:r>
        <w:rPr>
          <w:noProof/>
        </w:rPr>
        <w:drawing>
          <wp:inline distT="0" distB="0" distL="0" distR="0" wp14:anchorId="76290936" wp14:editId="77D7469B">
            <wp:extent cx="1992702" cy="2629594"/>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2372" cy="2655550"/>
                    </a:xfrm>
                    <a:prstGeom prst="rect">
                      <a:avLst/>
                    </a:prstGeom>
                  </pic:spPr>
                </pic:pic>
              </a:graphicData>
            </a:graphic>
          </wp:inline>
        </w:drawing>
      </w:r>
    </w:p>
    <w:p w:rsidR="00D00703" w:rsidRPr="00D00703" w:rsidRDefault="00D00703" w:rsidP="00D00703">
      <w:pPr>
        <w:pStyle w:val="NoSpacing"/>
        <w:numPr>
          <w:ilvl w:val="0"/>
          <w:numId w:val="15"/>
        </w:numPr>
        <w:rPr>
          <w:rFonts w:ascii="Garamond" w:hAnsi="Garamond"/>
        </w:rPr>
      </w:pPr>
      <w:r>
        <w:rPr>
          <w:rFonts w:ascii="Garamond" w:hAnsi="Garamond"/>
        </w:rPr>
        <w:t>Check the “Include Other” box.  Your final group should look like this:</w:t>
      </w:r>
    </w:p>
    <w:p w:rsidR="00D00703" w:rsidRDefault="00D00703" w:rsidP="00D00703">
      <w:pPr>
        <w:pStyle w:val="NoSpacing"/>
        <w:ind w:left="720"/>
        <w:jc w:val="center"/>
        <w:rPr>
          <w:rFonts w:ascii="Garamond" w:hAnsi="Garamond"/>
        </w:rPr>
      </w:pPr>
      <w:r>
        <w:rPr>
          <w:noProof/>
        </w:rPr>
        <w:lastRenderedPageBreak/>
        <w:drawing>
          <wp:inline distT="0" distB="0" distL="0" distR="0" wp14:anchorId="67E7CDEF" wp14:editId="191F28E5">
            <wp:extent cx="2087593" cy="2819807"/>
            <wp:effectExtent l="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8338" cy="2834320"/>
                    </a:xfrm>
                    <a:prstGeom prst="rect">
                      <a:avLst/>
                    </a:prstGeom>
                  </pic:spPr>
                </pic:pic>
              </a:graphicData>
            </a:graphic>
          </wp:inline>
        </w:drawing>
      </w:r>
    </w:p>
    <w:p w:rsidR="00D00703" w:rsidRDefault="00D00703" w:rsidP="00D00703">
      <w:pPr>
        <w:pStyle w:val="NoSpacing"/>
        <w:ind w:left="720"/>
        <w:rPr>
          <w:rFonts w:ascii="Garamond" w:hAnsi="Garamond"/>
        </w:rPr>
      </w:pPr>
      <w:r>
        <w:rPr>
          <w:rFonts w:ascii="Garamond" w:hAnsi="Garamond"/>
        </w:rPr>
        <w:t xml:space="preserve">You can now use this field just </w:t>
      </w:r>
      <w:r w:rsidR="004C2055">
        <w:rPr>
          <w:rFonts w:ascii="Garamond" w:hAnsi="Garamond"/>
        </w:rPr>
        <w:t>as</w:t>
      </w:r>
      <w:r>
        <w:rPr>
          <w:rFonts w:ascii="Garamond" w:hAnsi="Garamond"/>
        </w:rPr>
        <w:t xml:space="preserve"> you would any other categorical (“discrete”) field.</w:t>
      </w: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r>
        <w:rPr>
          <w:rFonts w:ascii="Garamond" w:hAnsi="Garamond"/>
          <w:b/>
        </w:rPr>
        <w:lastRenderedPageBreak/>
        <w:t>Geographic fields &amp; maps</w:t>
      </w:r>
    </w:p>
    <w:p w:rsidR="00D93784" w:rsidRDefault="00D93784" w:rsidP="00D00703">
      <w:pPr>
        <w:pStyle w:val="NoSpacing"/>
        <w:rPr>
          <w:rFonts w:ascii="Garamond" w:hAnsi="Garamond"/>
        </w:rPr>
      </w:pPr>
      <w:r>
        <w:rPr>
          <w:rFonts w:ascii="Garamond" w:hAnsi="Garamond"/>
        </w:rPr>
        <w:t>Tableau has extremely powerful geographic capabilities.  Fields like countries, states, zip codes, counties, etc. can often be recognized as geographic fields.  Tableau then creates customized latitude and longitude coordinates with shape files for each row of the geographic field.</w:t>
      </w:r>
    </w:p>
    <w:p w:rsidR="00D93784" w:rsidRDefault="00D93784" w:rsidP="00D00703">
      <w:pPr>
        <w:pStyle w:val="NoSpacing"/>
        <w:rPr>
          <w:rFonts w:ascii="Garamond" w:hAnsi="Garamond"/>
        </w:rPr>
      </w:pPr>
    </w:p>
    <w:p w:rsidR="00D93784" w:rsidRDefault="00D93784" w:rsidP="00D00703">
      <w:pPr>
        <w:pStyle w:val="NoSpacing"/>
        <w:rPr>
          <w:rFonts w:ascii="Garamond" w:hAnsi="Garamond"/>
        </w:rPr>
      </w:pPr>
    </w:p>
    <w:p w:rsidR="00D93784" w:rsidRDefault="00D93784" w:rsidP="00D00703">
      <w:pPr>
        <w:pStyle w:val="NoSpacing"/>
        <w:rPr>
          <w:rFonts w:ascii="Garamond" w:hAnsi="Garamond"/>
        </w:rPr>
      </w:pPr>
      <w:r>
        <w:rPr>
          <w:rFonts w:ascii="Garamond" w:hAnsi="Garamond"/>
        </w:rPr>
        <w:t>To create a map, simply drag a geographic field to Detail on the Marks card.  Note that Latitude and Longitude appear automatically in Rows and Columns, and a map underlies the data points:</w:t>
      </w:r>
    </w:p>
    <w:p w:rsidR="00D93784" w:rsidRDefault="00D93784" w:rsidP="00D00703">
      <w:pPr>
        <w:pStyle w:val="NoSpacing"/>
        <w:rPr>
          <w:rFonts w:ascii="Garamond" w:hAnsi="Garamond"/>
        </w:rPr>
      </w:pPr>
    </w:p>
    <w:p w:rsidR="00D93784" w:rsidRDefault="00D93784" w:rsidP="00D00703">
      <w:pPr>
        <w:pStyle w:val="NoSpacing"/>
        <w:rPr>
          <w:rFonts w:ascii="Garamond" w:hAnsi="Garamond"/>
        </w:rPr>
      </w:pPr>
      <w:r>
        <w:rPr>
          <w:noProof/>
        </w:rPr>
        <w:drawing>
          <wp:inline distT="0" distB="0" distL="0" distR="0" wp14:anchorId="7D8EFC60" wp14:editId="7DBAB2C7">
            <wp:extent cx="4086225" cy="283285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8248" cy="2841190"/>
                    </a:xfrm>
                    <a:prstGeom prst="rect">
                      <a:avLst/>
                    </a:prstGeom>
                  </pic:spPr>
                </pic:pic>
              </a:graphicData>
            </a:graphic>
          </wp:inline>
        </w:drawing>
      </w:r>
    </w:p>
    <w:p w:rsidR="00D93784" w:rsidRDefault="00D93784" w:rsidP="00D00703">
      <w:pPr>
        <w:pStyle w:val="NoSpacing"/>
        <w:rPr>
          <w:rFonts w:ascii="Garamond" w:hAnsi="Garamond"/>
        </w:rPr>
      </w:pPr>
      <w:r>
        <w:rPr>
          <w:rFonts w:ascii="Garamond" w:hAnsi="Garamond"/>
        </w:rPr>
        <w:t>Changing Marks to “Filled Map” and color-coding by 2014 internet yields the following:</w:t>
      </w:r>
    </w:p>
    <w:p w:rsidR="00D93784" w:rsidRPr="00D93784" w:rsidRDefault="00D93784" w:rsidP="00D00703">
      <w:pPr>
        <w:pStyle w:val="NoSpacing"/>
        <w:rPr>
          <w:rFonts w:ascii="Garamond" w:hAnsi="Garamond"/>
        </w:rPr>
      </w:pPr>
      <w:r>
        <w:rPr>
          <w:noProof/>
        </w:rPr>
        <w:drawing>
          <wp:inline distT="0" distB="0" distL="0" distR="0" wp14:anchorId="1D83BD6C" wp14:editId="158FA632">
            <wp:extent cx="4524375" cy="3028817"/>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902" cy="3037873"/>
                    </a:xfrm>
                    <a:prstGeom prst="rect">
                      <a:avLst/>
                    </a:prstGeom>
                  </pic:spPr>
                </pic:pic>
              </a:graphicData>
            </a:graphic>
          </wp:inline>
        </w:drawing>
      </w:r>
    </w:p>
    <w:p w:rsidR="00D93784" w:rsidRDefault="00D93784" w:rsidP="00D00703">
      <w:pPr>
        <w:pStyle w:val="NoSpacing"/>
        <w:rPr>
          <w:rFonts w:ascii="Garamond" w:hAnsi="Garamond"/>
        </w:rPr>
      </w:pPr>
      <w:r>
        <w:rPr>
          <w:rFonts w:ascii="Garamond" w:hAnsi="Garamond"/>
        </w:rPr>
        <w:lastRenderedPageBreak/>
        <w:t xml:space="preserve">Clicking </w:t>
      </w:r>
      <w:r>
        <w:rPr>
          <w:rFonts w:ascii="Garamond" w:hAnsi="Garamond"/>
          <w:b/>
        </w:rPr>
        <w:t xml:space="preserve">Map </w:t>
      </w:r>
      <w:r w:rsidRPr="00D93784">
        <w:rPr>
          <w:rFonts w:ascii="Garamond" w:hAnsi="Garamond"/>
          <w:b/>
        </w:rPr>
        <w:sym w:font="Wingdings" w:char="F0E0"/>
      </w:r>
      <w:r>
        <w:rPr>
          <w:rFonts w:ascii="Garamond" w:hAnsi="Garamond"/>
          <w:b/>
        </w:rPr>
        <w:t xml:space="preserve"> Map Layers </w:t>
      </w:r>
      <w:r>
        <w:rPr>
          <w:rFonts w:ascii="Garamond" w:hAnsi="Garamond"/>
        </w:rPr>
        <w:t>brings up the following, which allows for several useful options that are more applicable when dealing with smaller geographic regions (most are grayed out for countries):</w:t>
      </w:r>
    </w:p>
    <w:p w:rsidR="00D93784" w:rsidRDefault="00D93784" w:rsidP="00D00703">
      <w:pPr>
        <w:pStyle w:val="NoSpacing"/>
        <w:rPr>
          <w:rFonts w:ascii="Garamond" w:hAnsi="Garamond"/>
        </w:rPr>
      </w:pPr>
      <w:r>
        <w:rPr>
          <w:noProof/>
        </w:rPr>
        <w:drawing>
          <wp:inline distT="0" distB="0" distL="0" distR="0" wp14:anchorId="02A723A9" wp14:editId="4446B934">
            <wp:extent cx="6424799" cy="38576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29539" cy="3860471"/>
                    </a:xfrm>
                    <a:prstGeom prst="rect">
                      <a:avLst/>
                    </a:prstGeom>
                  </pic:spPr>
                </pic:pic>
              </a:graphicData>
            </a:graphic>
          </wp:inline>
        </w:drawing>
      </w:r>
    </w:p>
    <w:p w:rsidR="00D93784" w:rsidRDefault="00D93784" w:rsidP="00D00703">
      <w:pPr>
        <w:pStyle w:val="NoSpacing"/>
        <w:rPr>
          <w:rFonts w:ascii="Garamond" w:hAnsi="Garamond"/>
        </w:rPr>
      </w:pPr>
    </w:p>
    <w:p w:rsidR="00D93784" w:rsidRPr="00D93784" w:rsidRDefault="00D93784" w:rsidP="00D00703">
      <w:pPr>
        <w:pStyle w:val="NoSpacing"/>
        <w:rPr>
          <w:rFonts w:ascii="Garamond" w:hAnsi="Garamond"/>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93784" w:rsidRDefault="00D93784" w:rsidP="00D00703">
      <w:pPr>
        <w:pStyle w:val="NoSpacing"/>
        <w:rPr>
          <w:rFonts w:ascii="Garamond" w:hAnsi="Garamond"/>
          <w:b/>
        </w:rPr>
      </w:pPr>
    </w:p>
    <w:p w:rsidR="00D00703" w:rsidRDefault="00D00703" w:rsidP="00D00703">
      <w:pPr>
        <w:pStyle w:val="NoSpacing"/>
        <w:rPr>
          <w:rFonts w:ascii="Garamond" w:hAnsi="Garamond"/>
        </w:rPr>
      </w:pPr>
      <w:r>
        <w:rPr>
          <w:rFonts w:ascii="Garamond" w:hAnsi="Garamond"/>
          <w:b/>
        </w:rPr>
        <w:lastRenderedPageBreak/>
        <w:t>Task</w:t>
      </w:r>
      <w:r w:rsidR="00D93784">
        <w:rPr>
          <w:rFonts w:ascii="Garamond" w:hAnsi="Garamond"/>
        </w:rPr>
        <w:t>: re-create this dashboard that pulls all the information we’ve visualized together:</w:t>
      </w:r>
    </w:p>
    <w:p w:rsidR="00D00703" w:rsidRDefault="00D00703" w:rsidP="00D00703">
      <w:pPr>
        <w:pStyle w:val="NoSpacing"/>
        <w:rPr>
          <w:rFonts w:ascii="Garamond" w:hAnsi="Garamond"/>
        </w:rPr>
      </w:pPr>
    </w:p>
    <w:p w:rsidR="00D00703" w:rsidRPr="00D00703" w:rsidRDefault="00D00703" w:rsidP="00D00703">
      <w:pPr>
        <w:pStyle w:val="NoSpacing"/>
        <w:rPr>
          <w:rFonts w:ascii="Garamond" w:hAnsi="Garamond"/>
        </w:rPr>
      </w:pPr>
      <w:r>
        <w:rPr>
          <w:noProof/>
        </w:rPr>
        <w:drawing>
          <wp:inline distT="0" distB="0" distL="0" distR="0" wp14:anchorId="12C31033" wp14:editId="2609190A">
            <wp:extent cx="6442624" cy="514996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46498" cy="5153066"/>
                    </a:xfrm>
                    <a:prstGeom prst="rect">
                      <a:avLst/>
                    </a:prstGeom>
                  </pic:spPr>
                </pic:pic>
              </a:graphicData>
            </a:graphic>
          </wp:inline>
        </w:drawing>
      </w:r>
    </w:p>
    <w:p w:rsidR="00D00703" w:rsidRDefault="00D00703" w:rsidP="00D00703">
      <w:pPr>
        <w:pStyle w:val="NoSpacing"/>
        <w:ind w:left="720"/>
        <w:rPr>
          <w:rFonts w:ascii="Garamond" w:hAnsi="Garamond"/>
        </w:rPr>
      </w:pPr>
    </w:p>
    <w:p w:rsidR="00D00703" w:rsidRDefault="00A46FCA" w:rsidP="00A46FCA">
      <w:pPr>
        <w:pStyle w:val="NoSpacing"/>
        <w:rPr>
          <w:rFonts w:ascii="Garamond" w:hAnsi="Garamond"/>
        </w:rPr>
      </w:pPr>
      <w:r>
        <w:rPr>
          <w:rFonts w:ascii="Garamond" w:hAnsi="Garamond"/>
        </w:rPr>
        <w:t>U</w:t>
      </w:r>
      <w:r w:rsidR="00297776">
        <w:rPr>
          <w:rFonts w:ascii="Garamond" w:hAnsi="Garamond"/>
        </w:rPr>
        <w:t xml:space="preserve">nfortunately, Tableau Public does not </w:t>
      </w:r>
      <w:r w:rsidR="00C14B70">
        <w:rPr>
          <w:rFonts w:ascii="Garamond" w:hAnsi="Garamond"/>
        </w:rPr>
        <w:t>allow “</w:t>
      </w:r>
      <w:r w:rsidR="00297776">
        <w:rPr>
          <w:rFonts w:ascii="Garamond" w:hAnsi="Garamond"/>
        </w:rPr>
        <w:t>click play to a</w:t>
      </w:r>
      <w:r>
        <w:rPr>
          <w:rFonts w:ascii="Garamond" w:hAnsi="Garamond"/>
        </w:rPr>
        <w:t xml:space="preserve">nimate,” yet, so one might want to reconsider the animation feature if publishing and sharing.  </w:t>
      </w:r>
    </w:p>
    <w:p w:rsidR="00297776" w:rsidRDefault="00297776" w:rsidP="00D00703">
      <w:pPr>
        <w:pStyle w:val="NoSpacing"/>
        <w:ind w:left="720"/>
        <w:rPr>
          <w:rFonts w:ascii="Garamond" w:hAnsi="Garamond"/>
        </w:rPr>
      </w:pPr>
    </w:p>
    <w:p w:rsidR="00D00703" w:rsidRDefault="00D00703" w:rsidP="00D93784">
      <w:pPr>
        <w:pStyle w:val="NoSpacing"/>
        <w:rPr>
          <w:rFonts w:ascii="Garamond" w:hAnsi="Garamond"/>
        </w:rPr>
      </w:pPr>
    </w:p>
    <w:p w:rsidR="00D93784" w:rsidRDefault="00D93784" w:rsidP="00D93784">
      <w:pPr>
        <w:pStyle w:val="NoSpacing"/>
        <w:rPr>
          <w:rFonts w:ascii="Garamond" w:hAnsi="Garamond"/>
        </w:rPr>
      </w:pPr>
    </w:p>
    <w:p w:rsidR="00D00703" w:rsidRDefault="00D00703" w:rsidP="00D00703">
      <w:pPr>
        <w:pStyle w:val="NoSpacing"/>
        <w:ind w:left="720"/>
        <w:rPr>
          <w:rFonts w:ascii="Garamond" w:hAnsi="Garamond"/>
        </w:rPr>
      </w:pPr>
    </w:p>
    <w:p w:rsidR="00D00703" w:rsidRDefault="00D00703" w:rsidP="00DB4D4F">
      <w:pPr>
        <w:pStyle w:val="NoSpacing"/>
        <w:rPr>
          <w:rFonts w:ascii="Garamond" w:hAnsi="Garamond"/>
        </w:rPr>
      </w:pPr>
    </w:p>
    <w:p w:rsidR="00DB4D4F" w:rsidRDefault="00DB4D4F" w:rsidP="00DB4D4F">
      <w:pPr>
        <w:pStyle w:val="NoSpacing"/>
        <w:rPr>
          <w:rFonts w:ascii="Garamond" w:hAnsi="Garamond"/>
        </w:rPr>
      </w:pPr>
    </w:p>
    <w:p w:rsidR="00DB4D4F" w:rsidRDefault="00DB4D4F" w:rsidP="00DB4D4F">
      <w:pPr>
        <w:pStyle w:val="NoSpacing"/>
        <w:rPr>
          <w:rFonts w:ascii="Garamond" w:hAnsi="Garamond"/>
        </w:rPr>
      </w:pPr>
    </w:p>
    <w:p w:rsidR="00DB4D4F" w:rsidRDefault="00DB4D4F" w:rsidP="00DB4D4F">
      <w:pPr>
        <w:pStyle w:val="NoSpacing"/>
        <w:rPr>
          <w:rFonts w:ascii="Garamond" w:hAnsi="Garamond"/>
        </w:rPr>
      </w:pPr>
    </w:p>
    <w:p w:rsidR="00DB4D4F" w:rsidRDefault="00DB4D4F" w:rsidP="00DB4D4F">
      <w:pPr>
        <w:pStyle w:val="NoSpacing"/>
        <w:rPr>
          <w:rFonts w:ascii="Garamond" w:hAnsi="Garamond"/>
        </w:rPr>
      </w:pPr>
    </w:p>
    <w:p w:rsidR="00DB4D4F" w:rsidRDefault="00DB4D4F" w:rsidP="00DB4D4F">
      <w:pPr>
        <w:pStyle w:val="NoSpacing"/>
        <w:rPr>
          <w:rFonts w:ascii="Garamond" w:eastAsia="Adobe Myungjo Std M" w:hAnsi="Garamond" w:cs="Tahoma"/>
          <w:b/>
        </w:rPr>
      </w:pPr>
      <w:r>
        <w:rPr>
          <w:rFonts w:ascii="Garamond" w:eastAsia="Adobe Myungjo Std M" w:hAnsi="Garamond" w:cs="Tahoma"/>
          <w:b/>
        </w:rPr>
        <w:lastRenderedPageBreak/>
        <w:t>Visualization critique/Task</w:t>
      </w:r>
    </w:p>
    <w:p w:rsidR="00DB4D4F" w:rsidRDefault="00DB4D4F" w:rsidP="00DB4D4F">
      <w:pPr>
        <w:pStyle w:val="NoSpacing"/>
        <w:rPr>
          <w:rFonts w:ascii="Garamond" w:eastAsia="Adobe Myungjo Std M" w:hAnsi="Garamond" w:cs="Tahoma"/>
          <w:b/>
        </w:rPr>
      </w:pPr>
    </w:p>
    <w:p w:rsidR="00DB4D4F" w:rsidRDefault="00DB4D4F" w:rsidP="00DB4D4F">
      <w:pPr>
        <w:pStyle w:val="NoSpacing"/>
        <w:rPr>
          <w:rFonts w:ascii="Garamond" w:eastAsia="Adobe Myungjo Std M" w:hAnsi="Garamond" w:cs="Tahoma"/>
        </w:rPr>
      </w:pPr>
      <w:r>
        <w:rPr>
          <w:rFonts w:ascii="Garamond" w:eastAsia="Adobe Myungjo Std M" w:hAnsi="Garamond" w:cs="Tahoma"/>
        </w:rPr>
        <w:t xml:space="preserve">Consider the following visualization from </w:t>
      </w:r>
      <w:hyperlink r:id="rId27" w:history="1">
        <w:r w:rsidRPr="00DB4D4F">
          <w:rPr>
            <w:rStyle w:val="Hyperlink"/>
            <w:rFonts w:ascii="Garamond" w:eastAsia="Adobe Myungjo Std M" w:hAnsi="Garamond" w:cs="Tahoma"/>
          </w:rPr>
          <w:t>V</w:t>
        </w:r>
        <w:r w:rsidRPr="00DB4D4F">
          <w:rPr>
            <w:rStyle w:val="Hyperlink"/>
            <w:rFonts w:ascii="Garamond" w:eastAsia="Adobe Myungjo Std M" w:hAnsi="Garamond" w:cs="Tahoma"/>
          </w:rPr>
          <w:t>o</w:t>
        </w:r>
        <w:r w:rsidRPr="00DB4D4F">
          <w:rPr>
            <w:rStyle w:val="Hyperlink"/>
            <w:rFonts w:ascii="Garamond" w:eastAsia="Adobe Myungjo Std M" w:hAnsi="Garamond" w:cs="Tahoma"/>
          </w:rPr>
          <w:t>x</w:t>
        </w:r>
      </w:hyperlink>
      <w:r w:rsidR="001E1759">
        <w:rPr>
          <w:rFonts w:ascii="Garamond" w:eastAsia="Adobe Myungjo Std M" w:hAnsi="Garamond" w:cs="Tahoma"/>
        </w:rPr>
        <w:t xml:space="preserve">, visualizing data on money raised towards various causes and CDC data on death from those causes: </w:t>
      </w:r>
    </w:p>
    <w:p w:rsidR="00DB4D4F" w:rsidRDefault="00DB4D4F" w:rsidP="00DB4D4F">
      <w:pPr>
        <w:pStyle w:val="NoSpacing"/>
        <w:rPr>
          <w:rFonts w:ascii="Garamond" w:eastAsia="Adobe Myungjo Std M" w:hAnsi="Garamond" w:cs="Tahoma"/>
        </w:rPr>
      </w:pPr>
    </w:p>
    <w:p w:rsidR="00DB4D4F" w:rsidRDefault="00DB4D4F" w:rsidP="00DB4D4F">
      <w:pPr>
        <w:pStyle w:val="NoSpacing"/>
        <w:jc w:val="center"/>
        <w:rPr>
          <w:rFonts w:ascii="Garamond" w:eastAsia="Adobe Myungjo Std M" w:hAnsi="Garamond" w:cs="Tahoma"/>
        </w:rPr>
      </w:pPr>
      <w:bookmarkStart w:id="0" w:name="_GoBack"/>
      <w:r>
        <w:rPr>
          <w:noProof/>
        </w:rPr>
        <w:drawing>
          <wp:inline distT="0" distB="0" distL="0" distR="0">
            <wp:extent cx="4031709" cy="5629275"/>
            <wp:effectExtent l="0" t="0" r="6985" b="0"/>
            <wp:docPr id="51" name="Picture 5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7677" cy="5637608"/>
                    </a:xfrm>
                    <a:prstGeom prst="rect">
                      <a:avLst/>
                    </a:prstGeom>
                    <a:noFill/>
                    <a:ln>
                      <a:noFill/>
                    </a:ln>
                  </pic:spPr>
                </pic:pic>
              </a:graphicData>
            </a:graphic>
          </wp:inline>
        </w:drawing>
      </w:r>
      <w:bookmarkEnd w:id="0"/>
    </w:p>
    <w:p w:rsidR="001E1759" w:rsidRDefault="001E1759" w:rsidP="001E1759">
      <w:pPr>
        <w:pStyle w:val="NoSpacing"/>
        <w:numPr>
          <w:ilvl w:val="0"/>
          <w:numId w:val="15"/>
        </w:numPr>
        <w:rPr>
          <w:rFonts w:ascii="Garamond" w:eastAsia="Adobe Myungjo Std M" w:hAnsi="Garamond" w:cs="Tahoma"/>
        </w:rPr>
      </w:pPr>
      <w:r>
        <w:rPr>
          <w:rFonts w:ascii="Garamond" w:eastAsia="Adobe Myungjo Std M" w:hAnsi="Garamond" w:cs="Tahoma"/>
        </w:rPr>
        <w:t xml:space="preserve">What are the variables?  What EPTs are used to visually map the variables?  </w:t>
      </w:r>
    </w:p>
    <w:p w:rsidR="001E1759" w:rsidRDefault="001E1759" w:rsidP="001E1759">
      <w:pPr>
        <w:pStyle w:val="NoSpacing"/>
        <w:numPr>
          <w:ilvl w:val="0"/>
          <w:numId w:val="15"/>
        </w:numPr>
        <w:rPr>
          <w:rFonts w:ascii="Garamond" w:eastAsia="Adobe Myungjo Std M" w:hAnsi="Garamond" w:cs="Tahoma"/>
        </w:rPr>
      </w:pPr>
      <w:r>
        <w:rPr>
          <w:rFonts w:ascii="Garamond" w:eastAsia="Adobe Myungjo Std M" w:hAnsi="Garamond" w:cs="Tahoma"/>
        </w:rPr>
        <w:t xml:space="preserve">What are some issues with this visualization?  </w:t>
      </w:r>
    </w:p>
    <w:p w:rsidR="001E1759" w:rsidRPr="00DB4D4F" w:rsidRDefault="001E1759" w:rsidP="001E1759">
      <w:pPr>
        <w:pStyle w:val="NoSpacing"/>
        <w:numPr>
          <w:ilvl w:val="0"/>
          <w:numId w:val="15"/>
        </w:numPr>
        <w:rPr>
          <w:rFonts w:ascii="Garamond" w:eastAsia="Adobe Myungjo Std M" w:hAnsi="Garamond" w:cs="Tahoma"/>
        </w:rPr>
      </w:pPr>
      <w:r>
        <w:rPr>
          <w:rFonts w:ascii="Garamond" w:eastAsia="Adobe Myungjo Std M" w:hAnsi="Garamond" w:cs="Tahoma"/>
        </w:rPr>
        <w:t xml:space="preserve">The data are in Vox.csv.  </w:t>
      </w:r>
      <w:r w:rsidR="00934ED6">
        <w:rPr>
          <w:rFonts w:ascii="Garamond" w:eastAsia="Adobe Myungjo Std M" w:hAnsi="Garamond" w:cs="Tahoma"/>
        </w:rPr>
        <w:t>Create one or two alternative visualizations that improve upon the original.</w:t>
      </w:r>
    </w:p>
    <w:p w:rsidR="00DB4D4F" w:rsidRDefault="00DB4D4F" w:rsidP="00DB4D4F">
      <w:pPr>
        <w:pStyle w:val="NoSpacing"/>
        <w:rPr>
          <w:rFonts w:ascii="Garamond" w:eastAsia="Adobe Myungjo Std M" w:hAnsi="Garamond" w:cs="Tahoma"/>
          <w:b/>
        </w:rPr>
      </w:pPr>
    </w:p>
    <w:p w:rsidR="00DB4D4F" w:rsidRPr="00DB4D4F" w:rsidRDefault="00DB4D4F" w:rsidP="00DB4D4F">
      <w:pPr>
        <w:pStyle w:val="NoSpacing"/>
        <w:rPr>
          <w:rFonts w:ascii="Garamond" w:hAnsi="Garamond"/>
          <w:b/>
        </w:rPr>
      </w:pPr>
    </w:p>
    <w:sectPr w:rsidR="00DB4D4F" w:rsidRPr="00DB4D4F">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4799" w:rsidRDefault="00C94799" w:rsidP="00C9683B">
      <w:pPr>
        <w:spacing w:after="0"/>
      </w:pPr>
      <w:r>
        <w:separator/>
      </w:r>
    </w:p>
  </w:endnote>
  <w:endnote w:type="continuationSeparator" w:id="0">
    <w:p w:rsidR="00C94799" w:rsidRDefault="00C94799" w:rsidP="00C968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dobe Myungjo Std M">
    <w:panose1 w:val="02020600000000000000"/>
    <w:charset w:val="80"/>
    <w:family w:val="roman"/>
    <w:notTrueType/>
    <w:pitch w:val="variable"/>
    <w:sig w:usb0="00000203" w:usb1="29D72C10" w:usb2="00000010" w:usb3="00000000" w:csb0="002A0005"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2559990"/>
      <w:docPartObj>
        <w:docPartGallery w:val="Page Numbers (Bottom of Page)"/>
        <w:docPartUnique/>
      </w:docPartObj>
    </w:sdtPr>
    <w:sdtEndPr>
      <w:rPr>
        <w:noProof/>
      </w:rPr>
    </w:sdtEndPr>
    <w:sdtContent>
      <w:p w:rsidR="00485F4F" w:rsidRDefault="00485F4F">
        <w:pPr>
          <w:pStyle w:val="Footer"/>
          <w:jc w:val="right"/>
        </w:pPr>
        <w:r>
          <w:fldChar w:fldCharType="begin"/>
        </w:r>
        <w:r>
          <w:instrText xml:space="preserve"> PAGE   \* MERGEFORMAT </w:instrText>
        </w:r>
        <w:r>
          <w:fldChar w:fldCharType="separate"/>
        </w:r>
        <w:r w:rsidR="00934ED6">
          <w:rPr>
            <w:noProof/>
          </w:rPr>
          <w:t>13</w:t>
        </w:r>
        <w:r>
          <w:rPr>
            <w:noProof/>
          </w:rPr>
          <w:fldChar w:fldCharType="end"/>
        </w:r>
      </w:p>
    </w:sdtContent>
  </w:sdt>
  <w:p w:rsidR="00485F4F" w:rsidRDefault="00485F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4799" w:rsidRDefault="00C94799" w:rsidP="00C9683B">
      <w:pPr>
        <w:spacing w:after="0"/>
      </w:pPr>
      <w:r>
        <w:separator/>
      </w:r>
    </w:p>
  </w:footnote>
  <w:footnote w:type="continuationSeparator" w:id="0">
    <w:p w:rsidR="00C94799" w:rsidRDefault="00C94799" w:rsidP="00C9683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7CEC" w:rsidRPr="00B24B9B" w:rsidRDefault="00767CEC" w:rsidP="00B24B9B">
    <w:pPr>
      <w:pStyle w:val="NoSpacing"/>
      <w:rPr>
        <w:rFonts w:ascii="Garamond" w:hAnsi="Garamond"/>
        <w:b/>
      </w:rPr>
    </w:pPr>
    <w:r w:rsidRPr="00B24B9B">
      <w:rPr>
        <w:rFonts w:ascii="Garamond" w:hAnsi="Garamond"/>
        <w:b/>
      </w:rPr>
      <w:t>USCOTS 2017 Pre-conference Workshop</w:t>
    </w:r>
  </w:p>
  <w:p w:rsidR="00B24B9B" w:rsidRPr="00B24B9B" w:rsidRDefault="00B24B9B" w:rsidP="00B24B9B">
    <w:pPr>
      <w:pStyle w:val="NoSpacing"/>
      <w:rPr>
        <w:rFonts w:ascii="Garamond" w:hAnsi="Garamond"/>
        <w:b/>
      </w:rPr>
    </w:pPr>
    <w:r w:rsidRPr="00B24B9B">
      <w:rPr>
        <w:rFonts w:ascii="Garamond" w:hAnsi="Garamond"/>
        <w:b/>
      </w:rPr>
      <w:t>May 16-18, 2017</w:t>
    </w:r>
  </w:p>
  <w:p w:rsidR="00767CEC" w:rsidRPr="00B24B9B" w:rsidRDefault="00767CEC" w:rsidP="00B24B9B">
    <w:pPr>
      <w:pStyle w:val="NoSpacing"/>
      <w:rPr>
        <w:rFonts w:ascii="Garamond" w:hAnsi="Garamond"/>
        <w:b/>
      </w:rPr>
    </w:pPr>
    <w:r w:rsidRPr="00B24B9B">
      <w:rPr>
        <w:rFonts w:ascii="Garamond" w:hAnsi="Garamond"/>
        <w:b/>
      </w:rPr>
      <w:t>Silas Bergen &amp; Todd Iverson</w:t>
    </w:r>
  </w:p>
  <w:p w:rsidR="00B24B9B" w:rsidRPr="00B24B9B" w:rsidRDefault="00B24B9B" w:rsidP="00B24B9B">
    <w:pPr>
      <w:pStyle w:val="NoSpacing"/>
      <w:rPr>
        <w:rFonts w:ascii="Garamond" w:hAnsi="Garamond"/>
        <w:b/>
      </w:rPr>
    </w:pPr>
    <w:r w:rsidRPr="00B24B9B">
      <w:rPr>
        <w:rFonts w:ascii="Garamond" w:hAnsi="Garamond"/>
        <w:b/>
      </w:rPr>
      <w:t>3-way scatterplots</w:t>
    </w:r>
    <w:r w:rsidR="00D93784">
      <w:rPr>
        <w:rFonts w:ascii="Garamond" w:hAnsi="Garamond"/>
        <w:b/>
      </w:rPr>
      <w:t xml:space="preserve"> &amp; maps</w:t>
    </w:r>
  </w:p>
  <w:p w:rsidR="00B24B9B" w:rsidRPr="00767CEC" w:rsidRDefault="00B24B9B" w:rsidP="00767CEC">
    <w:pPr>
      <w:rPr>
        <w:rFonts w:ascii="Garamond" w:hAnsi="Garamond"/>
        <w:b/>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4C44"/>
    <w:multiLevelType w:val="hybridMultilevel"/>
    <w:tmpl w:val="16BEC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F3E03"/>
    <w:multiLevelType w:val="hybridMultilevel"/>
    <w:tmpl w:val="5C06E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A44A43"/>
    <w:multiLevelType w:val="hybridMultilevel"/>
    <w:tmpl w:val="EB326F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6386A"/>
    <w:multiLevelType w:val="hybridMultilevel"/>
    <w:tmpl w:val="0D8294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46555D"/>
    <w:multiLevelType w:val="hybridMultilevel"/>
    <w:tmpl w:val="0C684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BC1929"/>
    <w:multiLevelType w:val="hybridMultilevel"/>
    <w:tmpl w:val="CFD6C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F47D3"/>
    <w:multiLevelType w:val="hybridMultilevel"/>
    <w:tmpl w:val="74F6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B73BEA"/>
    <w:multiLevelType w:val="hybridMultilevel"/>
    <w:tmpl w:val="58FC3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7F4817"/>
    <w:multiLevelType w:val="hybridMultilevel"/>
    <w:tmpl w:val="9C60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D437B8"/>
    <w:multiLevelType w:val="hybridMultilevel"/>
    <w:tmpl w:val="EA9C1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D244EB"/>
    <w:multiLevelType w:val="hybridMultilevel"/>
    <w:tmpl w:val="C2EC5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410F03"/>
    <w:multiLevelType w:val="hybridMultilevel"/>
    <w:tmpl w:val="FD540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B66254"/>
    <w:multiLevelType w:val="hybridMultilevel"/>
    <w:tmpl w:val="10E0A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EF58E2"/>
    <w:multiLevelType w:val="hybridMultilevel"/>
    <w:tmpl w:val="6290B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9F2493"/>
    <w:multiLevelType w:val="hybridMultilevel"/>
    <w:tmpl w:val="9E8272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B1014FA"/>
    <w:multiLevelType w:val="hybridMultilevel"/>
    <w:tmpl w:val="F03E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9"/>
  </w:num>
  <w:num w:numId="4">
    <w:abstractNumId w:val="13"/>
  </w:num>
  <w:num w:numId="5">
    <w:abstractNumId w:val="12"/>
  </w:num>
  <w:num w:numId="6">
    <w:abstractNumId w:val="2"/>
  </w:num>
  <w:num w:numId="7">
    <w:abstractNumId w:val="3"/>
  </w:num>
  <w:num w:numId="8">
    <w:abstractNumId w:val="8"/>
  </w:num>
  <w:num w:numId="9">
    <w:abstractNumId w:val="15"/>
  </w:num>
  <w:num w:numId="10">
    <w:abstractNumId w:val="14"/>
  </w:num>
  <w:num w:numId="11">
    <w:abstractNumId w:val="6"/>
  </w:num>
  <w:num w:numId="12">
    <w:abstractNumId w:val="1"/>
  </w:num>
  <w:num w:numId="13">
    <w:abstractNumId w:val="4"/>
  </w:num>
  <w:num w:numId="14">
    <w:abstractNumId w:val="7"/>
  </w:num>
  <w:num w:numId="15">
    <w:abstractNumId w:val="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48C"/>
    <w:rsid w:val="000379F6"/>
    <w:rsid w:val="000823E4"/>
    <w:rsid w:val="00122DF0"/>
    <w:rsid w:val="00156960"/>
    <w:rsid w:val="00156BF9"/>
    <w:rsid w:val="0018278B"/>
    <w:rsid w:val="001B3F4D"/>
    <w:rsid w:val="001B4BAF"/>
    <w:rsid w:val="001D5157"/>
    <w:rsid w:val="001E1759"/>
    <w:rsid w:val="001F1E33"/>
    <w:rsid w:val="00203BBF"/>
    <w:rsid w:val="002835B7"/>
    <w:rsid w:val="00297776"/>
    <w:rsid w:val="002B6E19"/>
    <w:rsid w:val="002D59BA"/>
    <w:rsid w:val="002F2E25"/>
    <w:rsid w:val="00362BB5"/>
    <w:rsid w:val="00395BF9"/>
    <w:rsid w:val="0040457A"/>
    <w:rsid w:val="004155ED"/>
    <w:rsid w:val="00475F5D"/>
    <w:rsid w:val="00485F4F"/>
    <w:rsid w:val="004C2055"/>
    <w:rsid w:val="004C3D77"/>
    <w:rsid w:val="004F186E"/>
    <w:rsid w:val="00506DCA"/>
    <w:rsid w:val="005619A5"/>
    <w:rsid w:val="0056664B"/>
    <w:rsid w:val="005A7A70"/>
    <w:rsid w:val="006302D6"/>
    <w:rsid w:val="00673C9F"/>
    <w:rsid w:val="00712242"/>
    <w:rsid w:val="00717D19"/>
    <w:rsid w:val="0074721A"/>
    <w:rsid w:val="00767CEC"/>
    <w:rsid w:val="007858F4"/>
    <w:rsid w:val="007D2529"/>
    <w:rsid w:val="007D3BD8"/>
    <w:rsid w:val="007F13C8"/>
    <w:rsid w:val="008300B0"/>
    <w:rsid w:val="0086248C"/>
    <w:rsid w:val="008A2D9A"/>
    <w:rsid w:val="008D579B"/>
    <w:rsid w:val="008E7CD5"/>
    <w:rsid w:val="00934ED6"/>
    <w:rsid w:val="00971B5A"/>
    <w:rsid w:val="009A74E0"/>
    <w:rsid w:val="00A04372"/>
    <w:rsid w:val="00A42B06"/>
    <w:rsid w:val="00A46FCA"/>
    <w:rsid w:val="00A86EDB"/>
    <w:rsid w:val="00AA1B68"/>
    <w:rsid w:val="00AC697D"/>
    <w:rsid w:val="00B24B9B"/>
    <w:rsid w:val="00B438D5"/>
    <w:rsid w:val="00BA14A1"/>
    <w:rsid w:val="00C14B70"/>
    <w:rsid w:val="00C20F48"/>
    <w:rsid w:val="00C94799"/>
    <w:rsid w:val="00C9683B"/>
    <w:rsid w:val="00CD3624"/>
    <w:rsid w:val="00D00703"/>
    <w:rsid w:val="00D23DA3"/>
    <w:rsid w:val="00D61A03"/>
    <w:rsid w:val="00D93784"/>
    <w:rsid w:val="00DB4D4F"/>
    <w:rsid w:val="00DC5CE6"/>
    <w:rsid w:val="00E023AB"/>
    <w:rsid w:val="00F66270"/>
    <w:rsid w:val="00FC54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86AE5"/>
  <w15:chartTrackingRefBased/>
  <w15:docId w15:val="{971E3731-36A4-4CA4-BFD6-32A2D4522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2B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ourceCode">
    <w:name w:val="Source Code"/>
    <w:basedOn w:val="Normal"/>
    <w:link w:val="VerbatimChar"/>
    <w:rsid w:val="0074721A"/>
    <w:pPr>
      <w:shd w:val="clear" w:color="auto" w:fill="F8F8F8"/>
      <w:wordWrap w:val="0"/>
      <w:spacing w:before="180" w:after="180"/>
    </w:pPr>
    <w:rPr>
      <w:sz w:val="20"/>
    </w:rPr>
  </w:style>
  <w:style w:type="character" w:customStyle="1" w:styleId="VerbatimChar">
    <w:name w:val="Verbatim Char"/>
    <w:basedOn w:val="DefaultParagraphFont"/>
    <w:link w:val="SourceCode"/>
    <w:rsid w:val="0074721A"/>
    <w:rPr>
      <w:sz w:val="20"/>
      <w:shd w:val="clear" w:color="auto" w:fill="F8F8F8"/>
    </w:rPr>
  </w:style>
  <w:style w:type="character" w:customStyle="1" w:styleId="KeywordTok">
    <w:name w:val="KeywordTok"/>
    <w:basedOn w:val="VerbatimChar"/>
    <w:rsid w:val="00A42B06"/>
    <w:rPr>
      <w:rFonts w:ascii="Consolas" w:hAnsi="Consolas"/>
      <w:b/>
      <w:color w:val="204A87"/>
      <w:sz w:val="16"/>
      <w:shd w:val="clear" w:color="auto" w:fill="F8F8F8"/>
    </w:rPr>
  </w:style>
  <w:style w:type="character" w:customStyle="1" w:styleId="NormalTok">
    <w:name w:val="NormalTok"/>
    <w:basedOn w:val="VerbatimChar"/>
    <w:rsid w:val="00A42B06"/>
    <w:rPr>
      <w:rFonts w:ascii="Consolas" w:hAnsi="Consolas"/>
      <w:sz w:val="16"/>
      <w:shd w:val="clear" w:color="auto" w:fill="F8F8F8"/>
    </w:rPr>
  </w:style>
  <w:style w:type="character" w:customStyle="1" w:styleId="StringTok">
    <w:name w:val="StringTok"/>
    <w:basedOn w:val="VerbatimChar"/>
    <w:rsid w:val="001B4BAF"/>
    <w:rPr>
      <w:color w:val="4E9A06"/>
      <w:sz w:val="16"/>
      <w:shd w:val="clear" w:color="auto" w:fill="F8F8F8"/>
    </w:rPr>
  </w:style>
  <w:style w:type="character" w:customStyle="1" w:styleId="DecValTok">
    <w:name w:val="DecValTok"/>
    <w:basedOn w:val="VerbatimChar"/>
    <w:rsid w:val="001F1E33"/>
    <w:rPr>
      <w:color w:val="0000CF"/>
      <w:sz w:val="16"/>
      <w:shd w:val="clear" w:color="auto" w:fill="F8F8F8"/>
    </w:rPr>
  </w:style>
  <w:style w:type="paragraph" w:styleId="NoSpacing">
    <w:name w:val="No Spacing"/>
    <w:uiPriority w:val="1"/>
    <w:qFormat/>
    <w:rsid w:val="0086248C"/>
    <w:pPr>
      <w:spacing w:after="0"/>
    </w:pPr>
  </w:style>
  <w:style w:type="paragraph" w:styleId="Header">
    <w:name w:val="header"/>
    <w:basedOn w:val="Normal"/>
    <w:link w:val="HeaderChar"/>
    <w:uiPriority w:val="99"/>
    <w:unhideWhenUsed/>
    <w:rsid w:val="00C9683B"/>
    <w:pPr>
      <w:tabs>
        <w:tab w:val="center" w:pos="4680"/>
        <w:tab w:val="right" w:pos="9360"/>
      </w:tabs>
      <w:spacing w:after="0"/>
    </w:pPr>
  </w:style>
  <w:style w:type="character" w:customStyle="1" w:styleId="HeaderChar">
    <w:name w:val="Header Char"/>
    <w:basedOn w:val="DefaultParagraphFont"/>
    <w:link w:val="Header"/>
    <w:uiPriority w:val="99"/>
    <w:rsid w:val="00C9683B"/>
  </w:style>
  <w:style w:type="paragraph" w:styleId="Footer">
    <w:name w:val="footer"/>
    <w:basedOn w:val="Normal"/>
    <w:link w:val="FooterChar"/>
    <w:uiPriority w:val="99"/>
    <w:unhideWhenUsed/>
    <w:rsid w:val="00C9683B"/>
    <w:pPr>
      <w:tabs>
        <w:tab w:val="center" w:pos="4680"/>
        <w:tab w:val="right" w:pos="9360"/>
      </w:tabs>
      <w:spacing w:after="0"/>
    </w:pPr>
  </w:style>
  <w:style w:type="character" w:customStyle="1" w:styleId="FooterChar">
    <w:name w:val="Footer Char"/>
    <w:basedOn w:val="DefaultParagraphFont"/>
    <w:link w:val="Footer"/>
    <w:uiPriority w:val="99"/>
    <w:rsid w:val="00C9683B"/>
  </w:style>
  <w:style w:type="character" w:styleId="Hyperlink">
    <w:name w:val="Hyperlink"/>
    <w:basedOn w:val="DefaultParagraphFont"/>
    <w:uiPriority w:val="99"/>
    <w:unhideWhenUsed/>
    <w:rsid w:val="00297776"/>
    <w:rPr>
      <w:color w:val="0563C1" w:themeColor="hyperlink"/>
      <w:u w:val="single"/>
    </w:rPr>
  </w:style>
  <w:style w:type="character" w:styleId="FollowedHyperlink">
    <w:name w:val="FollowedHyperlink"/>
    <w:basedOn w:val="DefaultParagraphFont"/>
    <w:uiPriority w:val="99"/>
    <w:semiHidden/>
    <w:unhideWhenUsed/>
    <w:rsid w:val="00A46F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apminder.org/tool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vox.com/2014/8/20/6040435/als-ice-bucket-challenge-and-why-we-give-to-charity-donate" TargetMode="External"/><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dobe Myungjo Std M">
    <w:panose1 w:val="02020600000000000000"/>
    <w:charset w:val="80"/>
    <w:family w:val="roman"/>
    <w:notTrueType/>
    <w:pitch w:val="variable"/>
    <w:sig w:usb0="00000203" w:usb1="29D72C10" w:usb2="00000010" w:usb3="00000000" w:csb0="002A0005"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1E1"/>
    <w:rsid w:val="00912370"/>
    <w:rsid w:val="00B851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2F632982444AABA9A1B26939ED9940">
    <w:name w:val="A72F632982444AABA9A1B26939ED9940"/>
    <w:rsid w:val="00B851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F68EC-ECDA-4F2E-B4E8-ACC03C109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13</Pages>
  <Words>1068</Words>
  <Characters>6093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Winona State University</Company>
  <LinksUpToDate>false</LinksUpToDate>
  <CharactersWithSpaces>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Bergen, Silas R</dc:creator>
  <cp:keywords/>
  <dc:description/>
  <cp:lastModifiedBy>Bergen, Silas R</cp:lastModifiedBy>
  <cp:revision>11</cp:revision>
  <dcterms:created xsi:type="dcterms:W3CDTF">2017-05-12T15:12:00Z</dcterms:created>
  <dcterms:modified xsi:type="dcterms:W3CDTF">2017-05-12T17:23:00Z</dcterms:modified>
</cp:coreProperties>
</file>