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4828" w14:textId="3FD185DF" w:rsidR="00E34EBE" w:rsidRPr="00E34EBE" w:rsidRDefault="00E34EBE">
      <w:pPr>
        <w:rPr>
          <w:b/>
          <w:bCs/>
          <w:color w:val="000000" w:themeColor="text1"/>
          <w:sz w:val="22"/>
          <w:szCs w:val="22"/>
        </w:rPr>
      </w:pPr>
      <w:r w:rsidRPr="00E34EBE">
        <w:rPr>
          <w:b/>
          <w:bCs/>
          <w:color w:val="000000" w:themeColor="text1"/>
          <w:sz w:val="22"/>
          <w:szCs w:val="22"/>
        </w:rPr>
        <w:t>Can there be a “neutral” data visualization?</w:t>
      </w:r>
    </w:p>
    <w:p w14:paraId="36220DDB" w14:textId="19CB54E3" w:rsidR="00B342A9" w:rsidRPr="00E34EBE" w:rsidRDefault="00D44A86">
      <w:pPr>
        <w:rPr>
          <w:rFonts w:cs="Segoe UI"/>
          <w:color w:val="000000" w:themeColor="text1"/>
          <w:sz w:val="22"/>
          <w:szCs w:val="22"/>
        </w:rPr>
      </w:pPr>
      <w:r w:rsidRPr="00E34EBE">
        <w:rPr>
          <w:color w:val="000000" w:themeColor="text1"/>
          <w:sz w:val="22"/>
          <w:szCs w:val="22"/>
        </w:rPr>
        <w:t>Evie: “</w:t>
      </w:r>
      <w:r w:rsidRPr="00E34EBE">
        <w:rPr>
          <w:rFonts w:cs="Segoe UI"/>
          <w:color w:val="000000" w:themeColor="text1"/>
          <w:sz w:val="22"/>
          <w:szCs w:val="22"/>
        </w:rPr>
        <w:t>It also makes me question what even is a truly "neutral" data visualization, since data is always collected and presented with a specific purpose.</w:t>
      </w:r>
      <w:r w:rsidRPr="00E34EBE">
        <w:rPr>
          <w:rFonts w:cs="Segoe UI"/>
          <w:color w:val="000000" w:themeColor="text1"/>
          <w:sz w:val="22"/>
          <w:szCs w:val="22"/>
        </w:rPr>
        <w:t>”</w:t>
      </w:r>
    </w:p>
    <w:p w14:paraId="41D7DD41" w14:textId="77777777" w:rsidR="00D44A86" w:rsidRPr="00E34EBE" w:rsidRDefault="00D44A86">
      <w:pPr>
        <w:rPr>
          <w:rFonts w:cs="Segoe UI"/>
          <w:color w:val="000000" w:themeColor="text1"/>
          <w:sz w:val="22"/>
          <w:szCs w:val="22"/>
        </w:rPr>
      </w:pPr>
    </w:p>
    <w:p w14:paraId="0F8E4D2D" w14:textId="07731219" w:rsidR="00E34EBE" w:rsidRPr="00E34EBE" w:rsidRDefault="00E34EBE">
      <w:pPr>
        <w:rPr>
          <w:rFonts w:cs="Segoe UI"/>
          <w:b/>
          <w:bCs/>
          <w:color w:val="000000" w:themeColor="text1"/>
          <w:sz w:val="22"/>
          <w:szCs w:val="22"/>
        </w:rPr>
      </w:pPr>
      <w:r w:rsidRPr="00E34EBE">
        <w:rPr>
          <w:rFonts w:cs="Segoe UI"/>
          <w:b/>
          <w:bCs/>
          <w:color w:val="000000" w:themeColor="text1"/>
          <w:sz w:val="22"/>
          <w:szCs w:val="22"/>
        </w:rPr>
        <w:t>What are your feelings about design choices which lead a reader to interpret a graph in a specific way?</w:t>
      </w:r>
    </w:p>
    <w:p w14:paraId="4D9F0820" w14:textId="69079421" w:rsidR="004E3697" w:rsidRPr="004E3697" w:rsidRDefault="004E3697">
      <w:pPr>
        <w:rPr>
          <w:rFonts w:cs="Segoe UI"/>
          <w:i/>
          <w:iCs/>
          <w:color w:val="000000" w:themeColor="text1"/>
          <w:sz w:val="22"/>
          <w:szCs w:val="22"/>
        </w:rPr>
      </w:pPr>
      <w:r w:rsidRPr="004E3697">
        <w:rPr>
          <w:i/>
          <w:iCs/>
          <w:color w:val="000000" w:themeColor="text1"/>
          <w:sz w:val="22"/>
          <w:szCs w:val="22"/>
        </w:rPr>
        <w:t>Helen Kennedy and coauthors determined that four conventions of data visualization reinforce people’s perceptions of its factual basis: (1) two-dimensional viewpoints, (2) clean layouts, (3) geometric shapes and lines, and (4) the inclusion of data sources at the bottom.</w:t>
      </w:r>
    </w:p>
    <w:p w14:paraId="786A33E1" w14:textId="719D281B" w:rsidR="00D44A86" w:rsidRPr="00E34EBE" w:rsidRDefault="00D44A86">
      <w:pPr>
        <w:rPr>
          <w:rFonts w:cs="Segoe UI"/>
          <w:color w:val="000000" w:themeColor="text1"/>
          <w:sz w:val="22"/>
          <w:szCs w:val="22"/>
        </w:rPr>
      </w:pPr>
      <w:r w:rsidRPr="00E34EBE">
        <w:rPr>
          <w:rFonts w:cs="Segoe UI"/>
          <w:color w:val="000000" w:themeColor="text1"/>
          <w:sz w:val="22"/>
          <w:szCs w:val="22"/>
        </w:rPr>
        <w:t>Antonio: “I</w:t>
      </w:r>
      <w:r w:rsidRPr="00E34EBE">
        <w:rPr>
          <w:rFonts w:cs="Segoe UI"/>
          <w:color w:val="000000" w:themeColor="text1"/>
          <w:sz w:val="22"/>
          <w:szCs w:val="22"/>
        </w:rPr>
        <w:t>t shows that objectivity in data visualization is more about perception than reality.</w:t>
      </w:r>
      <w:r w:rsidRPr="00E34EBE">
        <w:rPr>
          <w:rFonts w:cs="Segoe UI"/>
          <w:color w:val="000000" w:themeColor="text1"/>
          <w:sz w:val="22"/>
          <w:szCs w:val="22"/>
        </w:rPr>
        <w:t>”</w:t>
      </w:r>
    </w:p>
    <w:p w14:paraId="08225D41" w14:textId="77777777" w:rsidR="004E3697" w:rsidRPr="00E34EBE" w:rsidRDefault="004E3697" w:rsidP="004E3697">
      <w:pPr>
        <w:rPr>
          <w:rFonts w:cs="Segoe UI"/>
          <w:color w:val="000000" w:themeColor="text1"/>
          <w:sz w:val="22"/>
          <w:szCs w:val="22"/>
        </w:rPr>
      </w:pPr>
      <w:r w:rsidRPr="00E34EBE">
        <w:rPr>
          <w:rFonts w:cs="Segoe UI"/>
          <w:color w:val="000000" w:themeColor="text1"/>
          <w:sz w:val="22"/>
          <w:szCs w:val="22"/>
        </w:rPr>
        <w:t>Evie: “Even small design choices (like titles and the type of chart) can guide viewers toward completely different interpretations of the same facts.”</w:t>
      </w:r>
    </w:p>
    <w:p w14:paraId="7A2D779A" w14:textId="54030FA8" w:rsidR="00A53395" w:rsidRPr="00E34EBE" w:rsidRDefault="00A53395">
      <w:pPr>
        <w:rPr>
          <w:color w:val="000000" w:themeColor="text1"/>
          <w:sz w:val="22"/>
          <w:szCs w:val="22"/>
        </w:rPr>
      </w:pPr>
      <w:r w:rsidRPr="00E34EBE">
        <w:rPr>
          <w:rFonts w:cs="Segoe UI"/>
          <w:color w:val="000000" w:themeColor="text1"/>
          <w:sz w:val="22"/>
          <w:szCs w:val="22"/>
        </w:rPr>
        <w:t>Erica: “</w:t>
      </w:r>
      <w:r w:rsidRPr="00E34EBE">
        <w:rPr>
          <w:rFonts w:cs="Segoe UI"/>
          <w:color w:val="000000" w:themeColor="text1"/>
          <w:sz w:val="22"/>
          <w:szCs w:val="22"/>
        </w:rPr>
        <w:t>I also feel like the concept of universal objectivity somewhat counters, or at least diminishes, the perspectives of those marginalized. Although this may be a reach, this reminds me of the "All Lives Matter" countermovement, which was a direct opposition to Black Lives Matter. The phrase "all lives matter" critically ignores the systemic racism and violence that Black people perpetually endure.</w:t>
      </w:r>
      <w:r w:rsidRPr="00E34EBE">
        <w:rPr>
          <w:rFonts w:cs="Segoe UI"/>
          <w:color w:val="000000" w:themeColor="text1"/>
          <w:sz w:val="22"/>
          <w:szCs w:val="22"/>
        </w:rPr>
        <w:t>”</w:t>
      </w:r>
    </w:p>
    <w:sectPr w:rsidR="00A53395" w:rsidRPr="00E3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86"/>
    <w:rsid w:val="000842C5"/>
    <w:rsid w:val="00485AD7"/>
    <w:rsid w:val="004E3697"/>
    <w:rsid w:val="00816004"/>
    <w:rsid w:val="00A53395"/>
    <w:rsid w:val="00B342A9"/>
    <w:rsid w:val="00D44A86"/>
    <w:rsid w:val="00E34EBE"/>
    <w:rsid w:val="00F9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881ED"/>
  <w15:chartTrackingRefBased/>
  <w15:docId w15:val="{13CF74FA-E793-C94D-8D88-839631ED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5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S. Theobold</dc:creator>
  <cp:keywords/>
  <dc:description/>
  <cp:lastModifiedBy>Allison S. Theobold</cp:lastModifiedBy>
  <cp:revision>5</cp:revision>
  <dcterms:created xsi:type="dcterms:W3CDTF">2026-04-28T15:16:00Z</dcterms:created>
  <dcterms:modified xsi:type="dcterms:W3CDTF">2026-04-28T18:07:00Z</dcterms:modified>
</cp:coreProperties>
</file>