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5DACF1" w14:textId="77777777" w:rsidR="00A73D80" w:rsidRPr="00F82358" w:rsidRDefault="00000000">
      <w:pPr>
        <w:pStyle w:val="Title"/>
        <w:rPr>
          <w:sz w:val="36"/>
          <w:szCs w:val="36"/>
        </w:rPr>
      </w:pPr>
      <w:r w:rsidRPr="00F82358">
        <w:rPr>
          <w:sz w:val="36"/>
          <w:szCs w:val="36"/>
        </w:rPr>
        <w:t>PA 9 Task Card – Instrument Con</w:t>
      </w:r>
    </w:p>
    <w:p w14:paraId="42C0708B" w14:textId="77777777" w:rsidR="00A73D80" w:rsidRDefault="00000000">
      <w:pPr>
        <w:pStyle w:val="FirstParagraph"/>
      </w:pPr>
      <w:r>
        <w:t>In this practice activity you and your partner will write a function to simulate the weight of various band instruments, with the goal of identifying whether a particular shipment of instruments has a “reasonable” weight.</w:t>
      </w:r>
    </w:p>
    <w:p w14:paraId="6BAA59E9" w14:textId="77777777" w:rsidR="00A73D80" w:rsidRDefault="00000000">
      <w:pPr>
        <w:pStyle w:val="BodyText"/>
      </w:pPr>
      <w:r>
        <w:rPr>
          <w:b/>
          <w:bCs/>
          <w:i/>
          <w:iCs/>
        </w:rPr>
        <w:t>This task is complex. It requires many different types of abilities. Everyone will be good at some of these abilities but nobody will be good at all of them. In order to produce the best product possible, you will need to use the skills of each member of your group.</w:t>
      </w:r>
    </w:p>
    <w:p w14:paraId="0148428C" w14:textId="77777777" w:rsidR="00A73D80" w:rsidRDefault="00000000">
      <w:pPr>
        <w:pStyle w:val="Heading2"/>
      </w:pPr>
      <w:bookmarkStart w:id="0" w:name="four-types-of-calculations"/>
      <w:r>
        <w:t>Four Types of Calculations</w:t>
      </w:r>
    </w:p>
    <w:tbl>
      <w:tblPr>
        <w:tblStyle w:val="PlainTable1"/>
        <w:tblW w:w="5100" w:type="pct"/>
        <w:tblLayout w:type="fixed"/>
        <w:tblLook w:val="0000" w:firstRow="0" w:lastRow="0" w:firstColumn="0" w:lastColumn="0" w:noHBand="0" w:noVBand="0"/>
      </w:tblPr>
      <w:tblGrid>
        <w:gridCol w:w="5469"/>
        <w:gridCol w:w="7740"/>
      </w:tblGrid>
      <w:tr w:rsidR="00A73D80" w14:paraId="7F54BF7D" w14:textId="77777777" w:rsidTr="00F82358">
        <w:trPr>
          <w:cnfStyle w:val="000000100000" w:firstRow="0" w:lastRow="0" w:firstColumn="0" w:lastColumn="0" w:oddVBand="0" w:evenVBand="0" w:oddHBand="1" w:evenHBand="0" w:firstRowFirstColumn="0" w:firstRowLastColumn="0" w:lastRowFirstColumn="0" w:lastRowLastColumn="0"/>
          <w:trHeight w:val="3061"/>
        </w:trPr>
        <w:tc>
          <w:tcPr>
            <w:cnfStyle w:val="000010000000" w:firstRow="0" w:lastRow="0" w:firstColumn="0" w:lastColumn="0" w:oddVBand="1" w:evenVBand="0" w:oddHBand="0" w:evenHBand="0" w:firstRowFirstColumn="0" w:firstRowLastColumn="0" w:lastRowFirstColumn="0" w:lastRowLastColumn="0"/>
            <w:tcW w:w="5469" w:type="dxa"/>
          </w:tcPr>
          <w:p w14:paraId="4C2DB4EC" w14:textId="77777777" w:rsidR="00A73D80" w:rsidRDefault="00000000">
            <w:pPr>
              <w:pStyle w:val="Compact"/>
            </w:pPr>
            <w:r>
              <w:rPr>
                <w:rStyle w:val="VerbatimChar"/>
              </w:rPr>
              <w:t>p</w:t>
            </w:r>
            <w:r>
              <w:t xml:space="preserve"> – stands for probability (left tail area for a given value of </w:t>
            </w:r>
            <m:oMath>
              <m:r>
                <w:rPr>
                  <w:rFonts w:ascii="Cambria Math" w:hAnsi="Cambria Math"/>
                </w:rPr>
                <m:t>x</m:t>
              </m:r>
            </m:oMath>
            <w:r>
              <w:t>).</w:t>
            </w:r>
          </w:p>
        </w:tc>
        <w:tc>
          <w:tcPr>
            <w:tcW w:w="7740" w:type="dxa"/>
          </w:tcPr>
          <w:p w14:paraId="1082A731" w14:textId="77777777" w:rsidR="00A73D80" w:rsidRDefault="00000000" w:rsidP="00F82358">
            <w:pPr>
              <w:pStyle w:val="Compact"/>
              <w:jc w:val="cente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05F183D2" wp14:editId="5306A23F">
                  <wp:extent cx="4432300" cy="16637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1" name="Picture"/>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4432300" cy="1663700"/>
                          </a:xfrm>
                          <a:prstGeom prst="rect">
                            <a:avLst/>
                          </a:prstGeom>
                          <a:noFill/>
                          <a:ln w="9525">
                            <a:noFill/>
                            <a:headEnd/>
                            <a:tailEnd/>
                          </a:ln>
                        </pic:spPr>
                      </pic:pic>
                    </a:graphicData>
                  </a:graphic>
                </wp:inline>
              </w:drawing>
            </w:r>
          </w:p>
        </w:tc>
      </w:tr>
      <w:tr w:rsidR="00A73D80" w14:paraId="276EABE0" w14:textId="77777777" w:rsidTr="00F82358">
        <w:trPr>
          <w:trHeight w:val="3061"/>
        </w:trPr>
        <w:tc>
          <w:tcPr>
            <w:cnfStyle w:val="000010000000" w:firstRow="0" w:lastRow="0" w:firstColumn="0" w:lastColumn="0" w:oddVBand="1" w:evenVBand="0" w:oddHBand="0" w:evenHBand="0" w:firstRowFirstColumn="0" w:firstRowLastColumn="0" w:lastRowFirstColumn="0" w:lastRowLastColumn="0"/>
            <w:tcW w:w="5469" w:type="dxa"/>
          </w:tcPr>
          <w:p w14:paraId="7143238E" w14:textId="77777777" w:rsidR="00A73D80" w:rsidRDefault="00000000">
            <w:pPr>
              <w:pStyle w:val="Compact"/>
            </w:pPr>
            <w:r>
              <w:rPr>
                <w:rStyle w:val="VerbatimChar"/>
              </w:rPr>
              <w:t>d</w:t>
            </w:r>
            <w:r>
              <w:t xml:space="preserve"> – stands for density (of the distribution at a given value of </w:t>
            </w:r>
            <m:oMath>
              <m:r>
                <w:rPr>
                  <w:rFonts w:ascii="Cambria Math" w:hAnsi="Cambria Math"/>
                </w:rPr>
                <m:t>x</m:t>
              </m:r>
            </m:oMath>
            <w:r>
              <w:t>).</w:t>
            </w:r>
          </w:p>
        </w:tc>
        <w:tc>
          <w:tcPr>
            <w:tcW w:w="7740" w:type="dxa"/>
          </w:tcPr>
          <w:p w14:paraId="37B7F63F" w14:textId="77777777" w:rsidR="00A73D80" w:rsidRDefault="00000000" w:rsidP="00F82358">
            <w:pPr>
              <w:pStyle w:val="Compact"/>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DA9ADFB" wp14:editId="1325519E">
                  <wp:extent cx="2565400" cy="185420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images/dnorm.jpeg"/>
                          <pic:cNvPicPr>
                            <a:picLocks noChangeAspect="1" noChangeArrowheads="1"/>
                          </pic:cNvPicPr>
                        </pic:nvPicPr>
                        <pic:blipFill>
                          <a:blip r:embed="rId6"/>
                          <a:stretch>
                            <a:fillRect/>
                          </a:stretch>
                        </pic:blipFill>
                        <pic:spPr bwMode="auto">
                          <a:xfrm>
                            <a:off x="0" y="0"/>
                            <a:ext cx="2567363" cy="1855619"/>
                          </a:xfrm>
                          <a:prstGeom prst="rect">
                            <a:avLst/>
                          </a:prstGeom>
                          <a:noFill/>
                          <a:ln w="9525">
                            <a:noFill/>
                            <a:headEnd/>
                            <a:tailEnd/>
                          </a:ln>
                        </pic:spPr>
                      </pic:pic>
                    </a:graphicData>
                  </a:graphic>
                </wp:inline>
              </w:drawing>
            </w:r>
          </w:p>
        </w:tc>
      </w:tr>
    </w:tbl>
    <w:tbl>
      <w:tblPr>
        <w:tblStyle w:val="TableGrid"/>
        <w:tblpPr w:leftFromText="180" w:rightFromText="180" w:horzAnchor="margin" w:tblpY="420"/>
        <w:tblW w:w="13028" w:type="dxa"/>
        <w:tblLook w:val="04A0" w:firstRow="1" w:lastRow="0" w:firstColumn="1" w:lastColumn="0" w:noHBand="0" w:noVBand="1"/>
      </w:tblPr>
      <w:tblGrid>
        <w:gridCol w:w="5152"/>
        <w:gridCol w:w="7876"/>
      </w:tblGrid>
      <w:tr w:rsidR="00F82358" w14:paraId="57D07E0B" w14:textId="77777777" w:rsidTr="00F82358">
        <w:trPr>
          <w:trHeight w:val="3671"/>
        </w:trPr>
        <w:tc>
          <w:tcPr>
            <w:tcW w:w="6514" w:type="dxa"/>
          </w:tcPr>
          <w:p w14:paraId="31462CFD" w14:textId="20DA0603" w:rsidR="00F82358" w:rsidRPr="00F82358" w:rsidRDefault="00F82358" w:rsidP="00F82358">
            <w:pPr>
              <w:pStyle w:val="Heading2"/>
              <w:rPr>
                <w:rFonts w:asciiTheme="minorHAnsi" w:hAnsiTheme="minorHAnsi"/>
                <w:sz w:val="24"/>
                <w:szCs w:val="24"/>
              </w:rPr>
            </w:pPr>
            <w:bookmarkStart w:id="1" w:name="distributions"/>
            <w:bookmarkEnd w:id="0"/>
            <w:r w:rsidRPr="00F82358">
              <w:rPr>
                <w:rStyle w:val="VerbatimChar"/>
                <w:rFonts w:asciiTheme="minorHAnsi" w:hAnsiTheme="minorHAnsi"/>
                <w:sz w:val="24"/>
                <w:szCs w:val="24"/>
              </w:rPr>
              <w:lastRenderedPageBreak/>
              <w:t>q</w:t>
            </w:r>
            <w:r w:rsidRPr="00F82358">
              <w:rPr>
                <w:rFonts w:asciiTheme="minorHAnsi" w:hAnsiTheme="minorHAnsi"/>
                <w:sz w:val="24"/>
                <w:szCs w:val="24"/>
              </w:rPr>
              <w:t xml:space="preserve"> – stands for quantile (for a given probability).</w:t>
            </w:r>
          </w:p>
        </w:tc>
        <w:tc>
          <w:tcPr>
            <w:tcW w:w="6514" w:type="dxa"/>
          </w:tcPr>
          <w:p w14:paraId="6C38BDA6" w14:textId="67255BC2" w:rsidR="00F82358" w:rsidRDefault="00F82358" w:rsidP="00F82358">
            <w:pPr>
              <w:pStyle w:val="Heading2"/>
            </w:pPr>
            <w:r>
              <w:rPr>
                <w:noProof/>
              </w:rPr>
              <w:drawing>
                <wp:inline distT="0" distB="0" distL="0" distR="0" wp14:anchorId="1F3E03EF" wp14:editId="7852F9F4">
                  <wp:extent cx="4864100" cy="2146300"/>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7" name="Picture"/>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4864855" cy="2146633"/>
                          </a:xfrm>
                          <a:prstGeom prst="rect">
                            <a:avLst/>
                          </a:prstGeom>
                          <a:noFill/>
                          <a:ln w="9525">
                            <a:noFill/>
                            <a:headEnd/>
                            <a:tailEnd/>
                          </a:ln>
                        </pic:spPr>
                      </pic:pic>
                    </a:graphicData>
                  </a:graphic>
                </wp:inline>
              </w:drawing>
            </w:r>
          </w:p>
        </w:tc>
      </w:tr>
      <w:tr w:rsidR="00F82358" w14:paraId="4AC4600C" w14:textId="77777777" w:rsidTr="00F82358">
        <w:trPr>
          <w:trHeight w:val="1038"/>
        </w:trPr>
        <w:tc>
          <w:tcPr>
            <w:tcW w:w="6514" w:type="dxa"/>
          </w:tcPr>
          <w:p w14:paraId="748045D5" w14:textId="44CBE595" w:rsidR="00F82358" w:rsidRPr="00F82358" w:rsidRDefault="00F82358" w:rsidP="00F82358">
            <w:pPr>
              <w:pStyle w:val="Heading2"/>
              <w:rPr>
                <w:rFonts w:asciiTheme="minorHAnsi" w:hAnsiTheme="minorHAnsi"/>
                <w:sz w:val="24"/>
                <w:szCs w:val="24"/>
              </w:rPr>
            </w:pPr>
            <w:r w:rsidRPr="00F82358">
              <w:rPr>
                <w:rStyle w:val="VerbatimChar"/>
                <w:rFonts w:asciiTheme="minorHAnsi" w:hAnsiTheme="minorHAnsi"/>
                <w:sz w:val="24"/>
                <w:szCs w:val="24"/>
              </w:rPr>
              <w:t>r</w:t>
            </w:r>
            <w:r w:rsidRPr="00F82358">
              <w:rPr>
                <w:rFonts w:asciiTheme="minorHAnsi" w:hAnsiTheme="minorHAnsi"/>
                <w:sz w:val="24"/>
                <w:szCs w:val="24"/>
              </w:rPr>
              <w:t xml:space="preserve"> – stands for random (for generating data).</w:t>
            </w:r>
          </w:p>
        </w:tc>
        <w:tc>
          <w:tcPr>
            <w:tcW w:w="6514" w:type="dxa"/>
          </w:tcPr>
          <w:p w14:paraId="7803F469" w14:textId="77777777" w:rsidR="00F82358" w:rsidRDefault="00F82358" w:rsidP="00F82358">
            <w:pPr>
              <w:pStyle w:val="Heading2"/>
            </w:pPr>
          </w:p>
        </w:tc>
      </w:tr>
    </w:tbl>
    <w:p w14:paraId="71B06000" w14:textId="77777777" w:rsidR="00F82358" w:rsidRDefault="00F82358" w:rsidP="00F82358">
      <w:pPr>
        <w:pStyle w:val="Heading2"/>
      </w:pPr>
      <w:r>
        <w:t>Four Types of Calculations</w:t>
      </w:r>
    </w:p>
    <w:p w14:paraId="74A652B9" w14:textId="77777777" w:rsidR="00F82358" w:rsidRDefault="00F82358">
      <w:pPr>
        <w:pStyle w:val="Heading2"/>
      </w:pPr>
    </w:p>
    <w:p w14:paraId="33A7C983" w14:textId="23F121B1" w:rsidR="00A73D80" w:rsidRDefault="00000000">
      <w:pPr>
        <w:pStyle w:val="Heading2"/>
      </w:pPr>
      <w:r>
        <w:t>Distributions</w:t>
      </w:r>
    </w:p>
    <w:p w14:paraId="46EA64C8" w14:textId="77777777" w:rsidR="00A73D80" w:rsidRDefault="00000000">
      <w:pPr>
        <w:pStyle w:val="Compact"/>
        <w:numPr>
          <w:ilvl w:val="0"/>
          <w:numId w:val="2"/>
        </w:numPr>
      </w:pPr>
      <w:r>
        <w:t xml:space="preserve">The Normal distribution functions end with </w:t>
      </w:r>
      <w:r>
        <w:rPr>
          <w:rStyle w:val="VerbatimChar"/>
          <w:b/>
          <w:bCs/>
        </w:rPr>
        <w:t>norm</w:t>
      </w:r>
      <w:r>
        <w:t>.</w:t>
      </w:r>
    </w:p>
    <w:p w14:paraId="292928DB" w14:textId="77777777" w:rsidR="00A73D80" w:rsidRDefault="00000000">
      <w:pPr>
        <w:pStyle w:val="Compact"/>
        <w:numPr>
          <w:ilvl w:val="1"/>
          <w:numId w:val="3"/>
        </w:numPr>
      </w:pPr>
      <w:r>
        <w:rPr>
          <w:rStyle w:val="VerbatimChar"/>
        </w:rPr>
        <w:t>pnorm()</w:t>
      </w:r>
      <w:r>
        <w:t xml:space="preserve">, </w:t>
      </w:r>
      <w:r>
        <w:rPr>
          <w:rStyle w:val="VerbatimChar"/>
        </w:rPr>
        <w:t>rnorm()</w:t>
      </w:r>
      <w:r>
        <w:t xml:space="preserve">, </w:t>
      </w:r>
      <w:r>
        <w:rPr>
          <w:rStyle w:val="VerbatimChar"/>
        </w:rPr>
        <w:t>qnorm()</w:t>
      </w:r>
      <w:r>
        <w:t xml:space="preserve">, and </w:t>
      </w:r>
      <w:r>
        <w:rPr>
          <w:rStyle w:val="VerbatimChar"/>
        </w:rPr>
        <w:t>dnorm()</w:t>
      </w:r>
    </w:p>
    <w:p w14:paraId="2B1133C6" w14:textId="77777777" w:rsidR="00A73D80" w:rsidRDefault="00000000">
      <w:pPr>
        <w:pStyle w:val="Compact"/>
        <w:numPr>
          <w:ilvl w:val="0"/>
          <w:numId w:val="2"/>
        </w:numPr>
      </w:pPr>
      <w:r>
        <w:t xml:space="preserve">The Uniform distribution functions end with </w:t>
      </w:r>
      <w:r>
        <w:rPr>
          <w:rStyle w:val="VerbatimChar"/>
          <w:b/>
          <w:bCs/>
        </w:rPr>
        <w:t>unif</w:t>
      </w:r>
      <w:r>
        <w:t>.</w:t>
      </w:r>
    </w:p>
    <w:p w14:paraId="4DFC0114" w14:textId="77777777" w:rsidR="00A73D80" w:rsidRDefault="00000000">
      <w:pPr>
        <w:pStyle w:val="Compact"/>
        <w:numPr>
          <w:ilvl w:val="1"/>
          <w:numId w:val="4"/>
        </w:numPr>
      </w:pPr>
      <w:r>
        <w:rPr>
          <w:rStyle w:val="VerbatimChar"/>
        </w:rPr>
        <w:t>punif()</w:t>
      </w:r>
      <w:r>
        <w:t xml:space="preserve">, </w:t>
      </w:r>
      <w:r>
        <w:rPr>
          <w:rStyle w:val="VerbatimChar"/>
        </w:rPr>
        <w:t>runif()</w:t>
      </w:r>
      <w:r>
        <w:t xml:space="preserve">, </w:t>
      </w:r>
      <w:r>
        <w:rPr>
          <w:rStyle w:val="VerbatimChar"/>
        </w:rPr>
        <w:t>qunif()</w:t>
      </w:r>
      <w:r>
        <w:t xml:space="preserve">, and </w:t>
      </w:r>
      <w:r>
        <w:rPr>
          <w:rStyle w:val="VerbatimChar"/>
        </w:rPr>
        <w:t>dunif()</w:t>
      </w:r>
    </w:p>
    <w:p w14:paraId="57C24769" w14:textId="77777777" w:rsidR="00A73D80" w:rsidRDefault="00000000">
      <w:pPr>
        <w:pStyle w:val="Compact"/>
        <w:numPr>
          <w:ilvl w:val="0"/>
          <w:numId w:val="2"/>
        </w:numPr>
      </w:pPr>
      <w:r>
        <w:t xml:space="preserve">The Chi-square distribution functions end with </w:t>
      </w:r>
      <w:r>
        <w:rPr>
          <w:rStyle w:val="VerbatimChar"/>
          <w:b/>
          <w:bCs/>
        </w:rPr>
        <w:t>chisq</w:t>
      </w:r>
      <w:r>
        <w:t>.</w:t>
      </w:r>
    </w:p>
    <w:p w14:paraId="533A7D9B" w14:textId="77777777" w:rsidR="00A73D80" w:rsidRDefault="00000000">
      <w:pPr>
        <w:pStyle w:val="Compact"/>
        <w:numPr>
          <w:ilvl w:val="1"/>
          <w:numId w:val="5"/>
        </w:numPr>
      </w:pPr>
      <w:r>
        <w:rPr>
          <w:rStyle w:val="VerbatimChar"/>
        </w:rPr>
        <w:t>pchisq()</w:t>
      </w:r>
      <w:r>
        <w:t xml:space="preserve">, </w:t>
      </w:r>
      <w:r>
        <w:rPr>
          <w:rStyle w:val="VerbatimChar"/>
        </w:rPr>
        <w:t>rchisq()</w:t>
      </w:r>
      <w:r>
        <w:t xml:space="preserve">, </w:t>
      </w:r>
      <w:r>
        <w:rPr>
          <w:rStyle w:val="VerbatimChar"/>
        </w:rPr>
        <w:t>qchisq()</w:t>
      </w:r>
      <w:r>
        <w:t xml:space="preserve">, and </w:t>
      </w:r>
      <w:r>
        <w:rPr>
          <w:rStyle w:val="VerbatimChar"/>
        </w:rPr>
        <w:t>dchisq()</w:t>
      </w:r>
      <w:bookmarkEnd w:id="1"/>
    </w:p>
    <w:sectPr w:rsidR="00A73D80" w:rsidSect="00F82358">
      <w:pgSz w:w="15840" w:h="12240" w:orient="landscape"/>
      <w:pgMar w:top="1440"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422048EE"/>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A80661CC"/>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9652367">
    <w:abstractNumId w:val="0"/>
  </w:num>
  <w:num w:numId="2" w16cid:durableId="455490045">
    <w:abstractNumId w:val="1"/>
  </w:num>
  <w:num w:numId="3" w16cid:durableId="393241440">
    <w:abstractNumId w:val="1"/>
  </w:num>
  <w:num w:numId="4" w16cid:durableId="1341616804">
    <w:abstractNumId w:val="1"/>
  </w:num>
  <w:num w:numId="5" w16cid:durableId="19974205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D80"/>
    <w:rsid w:val="000513B8"/>
    <w:rsid w:val="008E31BC"/>
    <w:rsid w:val="00A73D80"/>
    <w:rsid w:val="00F823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46D55"/>
  <w15:docId w15:val="{B19C8A02-8C0D-F64A-9323-0DC38DCC7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b/>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table" w:styleId="PlainTable1">
    <w:name w:val="Plain Table 1"/>
    <w:basedOn w:val="TableNormal"/>
    <w:rsid w:val="00F82358"/>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rsid w:val="00F8235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165</Words>
  <Characters>944</Characters>
  <Application>Microsoft Office Word</Application>
  <DocSecurity>0</DocSecurity>
  <Lines>7</Lines>
  <Paragraphs>2</Paragraphs>
  <ScaleCrop>false</ScaleCrop>
  <Company/>
  <LinksUpToDate>false</LinksUpToDate>
  <CharactersWithSpaces>1107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 9 Task Card – Instrument Con</dc:title>
  <dc:creator>Allison S. Theobold</dc:creator>
  <cp:keywords/>
  <cp:lastModifiedBy>Allison S. Theobold</cp:lastModifiedBy>
  <cp:revision>3</cp:revision>
  <dcterms:created xsi:type="dcterms:W3CDTF">2024-11-19T17:49:00Z</dcterms:created>
  <dcterms:modified xsi:type="dcterms:W3CDTF">2024-11-19T17:56:00Z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