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6A:</w:t>
      </w:r>
      <w:r>
        <w:t xml:space="preserve"> </w:t>
      </w:r>
      <w:r>
        <w:t xml:space="preserve">Cholesterol</w:t>
      </w:r>
      <w:r>
        <w:t xml:space="preserve"> </w:t>
      </w:r>
      <w:r>
        <w:t xml:space="preserve">II</w:t>
      </w:r>
    </w:p>
    <w:p>
      <w:pPr>
        <w:pStyle w:val="Subtitle"/>
      </w:pPr>
      <w:r>
        <w:t xml:space="preserve">Confidence</w:t>
      </w:r>
      <w:r>
        <w:t xml:space="preserve"> </w:t>
      </w:r>
      <w:r>
        <w:t xml:space="preserve">Intervals</w:t>
      </w:r>
      <w:r>
        <w:t xml:space="preserve"> </w:t>
      </w:r>
      <w:r>
        <w:t xml:space="preserve">for</w:t>
      </w:r>
      <w:r>
        <w:t xml:space="preserve"> </w:t>
      </w:r>
      <w:r>
        <w:t xml:space="preserve">Two</w:t>
      </w:r>
      <w:r>
        <w:t xml:space="preserve"> </w:t>
      </w:r>
      <w:r>
        <w:t xml:space="preserve">Independent</w:t>
      </w:r>
      <w:r>
        <w:t xml:space="preserve"> </w:t>
      </w:r>
      <w:r>
        <w:t xml:space="preserve">Means</w:t>
      </w:r>
    </w:p>
    <w:bookmarkStart w:id="20" w:name="learning-outcomes"/>
    <w:p>
      <w:pPr>
        <w:pStyle w:val="Heading3"/>
      </w:pPr>
      <w:r>
        <w:t xml:space="preserve">Learning outcomes</w:t>
      </w:r>
    </w:p>
    <w:p>
      <w:pPr>
        <w:pStyle w:val="FirstParagraph"/>
      </w:pPr>
      <w:r>
        <w:rPr>
          <w:bCs/>
          <w:b/>
        </w:rPr>
        <w:t xml:space="preserve">Part 1: Confidence Interval for Two Independent Means</w:t>
      </w:r>
    </w:p>
    <w:p>
      <w:pPr>
        <w:numPr>
          <w:ilvl w:val="0"/>
          <w:numId w:val="1001"/>
        </w:numPr>
      </w:pPr>
      <w:r>
        <w:t xml:space="preserve">Use bootstrapping to find a confidence interval for a difference in means.</w:t>
      </w:r>
    </w:p>
    <w:p>
      <w:pPr>
        <w:numPr>
          <w:ilvl w:val="0"/>
          <w:numId w:val="1001"/>
        </w:numPr>
      </w:pPr>
      <w:r>
        <w:t xml:space="preserve">Interpret a confidence interval for a difference in means.</w:t>
      </w:r>
    </w:p>
    <w:p>
      <w:pPr>
        <w:numPr>
          <w:ilvl w:val="0"/>
          <w:numId w:val="1001"/>
        </w:numPr>
      </w:pPr>
      <w:r>
        <w:t xml:space="preserve">Use a confidence interval to determine the conclusion of a hypothesis test.</w:t>
      </w:r>
    </w:p>
    <w:p>
      <w:r>
        <w:pict>
          <v:rect style="width:0;height:1.5pt" o:hralign="center" o:hrstd="t" o:hr="t"/>
        </w:pict>
      </w:r>
    </w:p>
    <w:bookmarkEnd w:id="20"/>
    <w:bookmarkStart w:id="21" w:name="review-from-last-week"/>
    <w:p>
      <w:pPr>
        <w:pStyle w:val="Heading2"/>
      </w:pPr>
      <w:r>
        <w:t xml:space="preserve">Review from last week</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t xml:space="preserve">Last week we used cards to simulate what differences in mean cholesterol levels we might have seen if the null hypothesis was true. However, today we’re not interested in deciding if we believe the means of these two groups are similar or different.</w:t>
      </w:r>
    </w:p>
    <w:p>
      <w:pPr>
        <w:pStyle w:val="BodyText"/>
      </w:pPr>
      <w:r>
        <w:t xml:space="preserve">Today, we are interested in estimating what range of values the</w:t>
      </w:r>
      <w:r>
        <w:t xml:space="preserve"> </w:t>
      </w:r>
      <w:r>
        <w:rPr>
          <w:bCs/>
          <w:b/>
        </w:rPr>
        <w:t xml:space="preserve">true</w:t>
      </w:r>
      <w:r>
        <w:t xml:space="preserve"> </w:t>
      </w:r>
      <w:r>
        <w:t xml:space="preserve">difference in means might take on.</w:t>
      </w:r>
    </w:p>
    <w:p>
      <w:pPr>
        <w:numPr>
          <w:ilvl w:val="0"/>
          <w:numId w:val="1002"/>
        </w:numPr>
        <w:pStyle w:val="Compact"/>
      </w:pPr>
      <w:r>
        <w:t xml:space="preserve">Based on the p-value you obtained from</w:t>
      </w:r>
      <w:r>
        <w:t xml:space="preserve"> </w:t>
      </w:r>
      <w:r>
        <w:rPr>
          <w:iCs/>
          <w:i/>
        </w:rPr>
        <w:t xml:space="preserve">Activity 5: Cholesterol I</w:t>
      </w:r>
      <w:r>
        <w:t xml:space="preserve">, do you believe 0 is a plausible value for</w:t>
      </w:r>
      <w:r>
        <w:t xml:space="preserve"> </w:t>
      </w:r>
      <m:oMath>
        <m:sSub>
          <m:e>
            <m:r>
              <m:t>μ</m:t>
            </m:r>
          </m:e>
          <m:sub>
            <m:r>
              <m:rPr>
                <m:nor/>
                <m:sty m:val="p"/>
              </m:rPr>
              <m:t>CORNFLK</m:t>
            </m:r>
          </m:sub>
        </m:sSub>
        <m:r>
          <m:rPr>
            <m:sty m:val="p"/>
          </m:rPr>
          <m:t>−</m:t>
        </m:r>
        <m:sSub>
          <m:e>
            <m:r>
              <m:t>μ</m:t>
            </m:r>
          </m:e>
          <m:sub>
            <m:r>
              <m:rPr>
                <m:nor/>
                <m:sty m:val="p"/>
              </m:rPr>
              <m:t>OATBRAN</m:t>
            </m:r>
          </m:sub>
        </m:sSub>
      </m:oMath>
      <w:r>
        <w:t xml:space="preserve">?</w:t>
      </w:r>
    </w:p>
    <w:p>
      <w:r>
        <w:br w:type="page"/>
      </w:r>
    </w:p>
    <w:bookmarkEnd w:id="21"/>
    <w:bookmarkStart w:id="22" w:name="confidence-interval"/>
    <w:p>
      <w:pPr>
        <w:pStyle w:val="Heading2"/>
      </w:pPr>
      <w:r>
        <w:t xml:space="preserve">Confidence interval</w:t>
      </w:r>
    </w:p>
    <w:p>
      <w:pPr>
        <w:pStyle w:val="FirstParagraph"/>
      </w:pPr>
      <w:r>
        <w:t xml:space="preserve">A</w:t>
      </w:r>
      <w:r>
        <w:t xml:space="preserve"> </w:t>
      </w:r>
      <w:r>
        <w:rPr>
          <w:bCs/>
          <w:b/>
        </w:rPr>
        <w:t xml:space="preserve">confidence interval</w:t>
      </w:r>
      <w:r>
        <w:t xml:space="preserve"> </w:t>
      </w:r>
      <w:r>
        <w:t xml:space="preserve">represents a range of plausible values for a population parameter. In this case, our population parameter is</w:t>
      </w:r>
      <w:r>
        <w:t xml:space="preserve"> </w:t>
      </w:r>
      <m:oMath>
        <m:sSub>
          <m:e>
            <m:r>
              <m:t>μ</m:t>
            </m:r>
          </m:e>
          <m:sub>
            <m:r>
              <m:rPr>
                <m:nor/>
                <m:sty m:val="p"/>
              </m:rPr>
              <m:t>CORNFLK</m:t>
            </m:r>
          </m:sub>
        </m:sSub>
        <m:r>
          <m:rPr>
            <m:sty m:val="p"/>
          </m:rPr>
          <m:t>−</m:t>
        </m:r>
        <m:sSub>
          <m:e>
            <m:r>
              <m:t>μ</m:t>
            </m:r>
          </m:e>
          <m:sub>
            <m:r>
              <m:rPr>
                <m:nor/>
                <m:sty m:val="p"/>
              </m:rPr>
              <m:t>OATBRAN</m:t>
            </m:r>
          </m:sub>
        </m:sSub>
      </m:oMath>
      <w:r>
        <w:t xml:space="preserve">, or the true difference in mean cholesterol levels between corn flake and oatbran diets.</w:t>
      </w:r>
    </w:p>
    <w:p>
      <w:pPr>
        <w:pStyle w:val="BodyText"/>
      </w:pPr>
      <w:r>
        <w:t xml:space="preserve">The best way to estimate what range of values a parameter might have is to go out and collect more samples. However, that is often not feasible. So, instead we mimic this process by</w:t>
      </w:r>
      <w:r>
        <w:t xml:space="preserve"> </w:t>
      </w:r>
      <w:r>
        <w:rPr>
          <w:iCs/>
          <w:i/>
        </w:rPr>
        <w:t xml:space="preserve">resampling with replacement</w:t>
      </w:r>
      <w:r>
        <w:t xml:space="preserve"> </w:t>
      </w:r>
      <w:r>
        <w:t xml:space="preserve">from our original sample. Remember, this process has a name—</w:t>
      </w:r>
      <w:r>
        <w:rPr>
          <w:bCs/>
          <w:b/>
        </w:rPr>
        <w:t xml:space="preserve">bootstrapping</w:t>
      </w:r>
      <w:r>
        <w:t xml:space="preserve">.</w:t>
      </w:r>
    </w:p>
    <w:bookmarkEnd w:id="22"/>
    <w:bookmarkStart w:id="23" w:name="bootstrapping-cholesterol-diets"/>
    <w:p>
      <w:pPr>
        <w:pStyle w:val="Heading2"/>
      </w:pPr>
      <w:r>
        <w:t xml:space="preserve">Bootstrapping cholesterol &amp; diets</w:t>
      </w:r>
    </w:p>
    <w:p>
      <w:pPr>
        <w:pStyle w:val="FirstParagraph"/>
      </w:pPr>
      <w:r>
        <w:t xml:space="preserve">When bootstrapping with two groups, we’re assuming that the sample within each group is</w:t>
      </w:r>
      <w:r>
        <w:t xml:space="preserve"> </w:t>
      </w:r>
      <w:r>
        <w:rPr>
          <w:iCs/>
          <w:i/>
        </w:rPr>
        <w:t xml:space="preserve">representative</w:t>
      </w:r>
      <w:r>
        <w:t xml:space="preserve"> </w:t>
      </w:r>
      <w:r>
        <w:t xml:space="preserve">of other possible values in the population. Here, we are assuming that the participants included in our sample are representative of the cholesterol of other individuals who might have been on these diets.</w:t>
      </w:r>
    </w:p>
    <w:p>
      <w:pPr>
        <w:pStyle w:val="BodyText"/>
      </w:pPr>
      <w:r>
        <w:t xml:space="preserve">Because we</w:t>
      </w:r>
      <w:r>
        <w:t xml:space="preserve"> </w:t>
      </w:r>
      <w:r>
        <w:rPr>
          <w:bCs/>
          <w:b/>
        </w:rPr>
        <w:t xml:space="preserve">are not</w:t>
      </w:r>
      <w:r>
        <w:t xml:space="preserve"> </w:t>
      </w:r>
      <w:r>
        <w:t xml:space="preserve">assuming the null is true (that there is no difference in the means of these two groups), we</w:t>
      </w:r>
      <w:r>
        <w:t xml:space="preserve"> </w:t>
      </w:r>
      <w:r>
        <w:rPr>
          <w:bCs/>
          <w:b/>
        </w:rPr>
        <w:t xml:space="preserve">do not</w:t>
      </w:r>
      <w:r>
        <w:t xml:space="preserve"> </w:t>
      </w:r>
      <w:r>
        <w:t xml:space="preserve">combine the groups together. Rather, we keep the groups separate and sample from each group separately.</w:t>
      </w:r>
    </w:p>
    <w:p>
      <w:pPr>
        <w:numPr>
          <w:ilvl w:val="0"/>
          <w:numId w:val="1003"/>
        </w:numPr>
        <w:pStyle w:val="Compact"/>
      </w:pPr>
      <w:r>
        <w:t xml:space="preserve">Let’s walk through how we would carry out this process:</w:t>
      </w:r>
    </w:p>
    <w:p>
      <w:pPr>
        <w:pStyle w:val="FirstParagraph"/>
      </w:pPr>
      <w:r>
        <w:rPr>
          <w:bCs/>
          <w:b/>
        </w:rPr>
        <w:t xml:space="preserve">Step 1:</w:t>
      </w:r>
    </w:p>
    <w:p>
      <w:pPr>
        <w:pStyle w:val="BodyText"/>
      </w:pPr>
      <w:r>
        <w:rPr>
          <w:bCs/>
          <w:b/>
        </w:rPr>
        <w:t xml:space="preserve">Step 2:</w:t>
      </w:r>
    </w:p>
    <w:p>
      <w:pPr>
        <w:pStyle w:val="BodyText"/>
      </w:pPr>
      <w:r>
        <w:rPr>
          <w:bCs/>
          <w:b/>
        </w:rPr>
        <w:t xml:space="preserve">Step 3:</w:t>
      </w:r>
    </w:p>
    <w:p>
      <w:pPr>
        <w:pStyle w:val="BodyText"/>
      </w:pPr>
      <w:r>
        <w:rPr>
          <w:bCs/>
          <w:b/>
        </w:rPr>
        <w:t xml:space="preserve">Step 4:</w:t>
      </w:r>
    </w:p>
    <w:p>
      <w:pPr>
        <w:numPr>
          <w:ilvl w:val="0"/>
          <w:numId w:val="1004"/>
        </w:numPr>
        <w:pStyle w:val="Compact"/>
      </w:pPr>
      <w:r>
        <w:t xml:space="preserve">What statistic do we have after step 4?</w:t>
      </w:r>
    </w:p>
    <w:p>
      <w:pPr>
        <w:numPr>
          <w:ilvl w:val="0"/>
          <w:numId w:val="1005"/>
        </w:numPr>
        <w:pStyle w:val="Compact"/>
      </w:pPr>
      <w:r>
        <w:t xml:space="preserve">Once we create a bootstrap distribution of 1000 simulations, at what value do you expect the distribution to be centered? Explain your reasoning.</w:t>
      </w:r>
    </w:p>
    <w:bookmarkEnd w:id="23"/>
    <w:bookmarkStart w:id="24" w:name="creating-a-bootstrap-distribution-in-r"/>
    <w:p>
      <w:pPr>
        <w:pStyle w:val="Heading2"/>
      </w:pPr>
      <w:r>
        <w:t xml:space="preserve">Creating a bootstrap distribution in</w:t>
      </w:r>
      <w:r>
        <w:t xml:space="preserve"> </w:t>
      </w:r>
      <w:r>
        <w:rPr>
          <w:rStyle w:val="VerbatimChar"/>
        </w:rPr>
        <w:t xml:space="preserve">R</w:t>
      </w:r>
    </w:p>
    <w:p>
      <w:pPr>
        <w:pStyle w:val="FirstParagraph"/>
      </w:pPr>
      <w:r>
        <w:t xml:space="preserve">We will use the</w:t>
      </w:r>
      <w:r>
        <w:t xml:space="preserve"> </w:t>
      </w:r>
      <w:r>
        <w:rPr>
          <w:bCs/>
          <w:b/>
        </w:rPr>
        <w:t xml:space="preserve">infer</w:t>
      </w:r>
      <w:r>
        <w:t xml:space="preserve"> </w:t>
      </w:r>
      <w:r>
        <w:t xml:space="preserve">package (again) to make our bootstrap distribution. The process we used for this situation will look very similar to before, since all we are changing is the statistic we calculate!</w:t>
      </w:r>
    </w:p>
    <w:p>
      <w:pPr>
        <w:numPr>
          <w:ilvl w:val="0"/>
          <w:numId w:val="1006"/>
        </w:numPr>
        <w:pStyle w:val="Compact"/>
      </w:pPr>
      <w:r>
        <w:t xml:space="preserve">Fill in the blanks for the code below.</w:t>
      </w:r>
    </w:p>
    <w:p>
      <w:pPr>
        <w:pStyle w:val="SourceCode"/>
      </w:pPr>
      <w:r>
        <w:rPr>
          <w:rStyle w:val="NormalTok"/>
        </w:rPr>
        <w:t xml:space="preserve">cholesterol_data_long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__________________, </w:t>
      </w:r>
      <w:r>
        <w:rPr>
          <w:rStyle w:val="AttributeTok"/>
        </w:rPr>
        <w:t xml:space="preserve">explanatory =</w:t>
      </w:r>
      <w:r>
        <w:rPr>
          <w:rStyle w:val="NormalTok"/>
        </w:rPr>
        <w:t xml:space="preserve"> _______________)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_______________, </w:t>
      </w:r>
      <w:r>
        <w:rPr>
          <w:rStyle w:val="AttributeTok"/>
        </w:rPr>
        <w:t xml:space="preserve">type =</w:t>
      </w:r>
      <w:r>
        <w:rPr>
          <w:rStyle w:val="NormalTok"/>
        </w:rPr>
        <w:t xml:space="preserve"> _______________)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p>
    <w:p>
      <w:pPr>
        <w:numPr>
          <w:ilvl w:val="0"/>
          <w:numId w:val="1007"/>
        </w:numPr>
        <w:pStyle w:val="Compact"/>
      </w:pPr>
      <w:r>
        <w:t xml:space="preserve">What is the difference between this code and the code to generate a null distribution (what we did in</w:t>
      </w:r>
      <w:r>
        <w:t xml:space="preserve"> </w:t>
      </w:r>
      <w:r>
        <w:rPr>
          <w:iCs/>
          <w:i/>
        </w:rPr>
        <w:t xml:space="preserve">Activity 5: Cholesterol I</w:t>
      </w:r>
      <w:r>
        <w:t xml:space="preserve">)?</w:t>
      </w:r>
    </w:p>
    <w:p>
      <w:r>
        <w:br w:type="page"/>
      </w:r>
    </w:p>
    <w:bookmarkEnd w:id="24"/>
    <w:bookmarkStart w:id="28" w:name="obtaining-a-confidence-interval"/>
    <w:p>
      <w:pPr>
        <w:pStyle w:val="Heading2"/>
      </w:pPr>
      <w:r>
        <w:t xml:space="preserve">Obtaining a confidence interval</w:t>
      </w:r>
    </w:p>
    <w:p>
      <w:pPr>
        <w:pStyle w:val="FirstParagraph"/>
      </w:pPr>
      <w:r>
        <w:t xml:space="preserve">A bootstrap distribution from 1000 reps is plotted below.</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6" name="Picture"/>
                  <a:graphic>
                    <a:graphicData uri="http://schemas.openxmlformats.org/drawingml/2006/picture">
                      <pic:pic>
                        <pic:nvPicPr>
                          <pic:cNvPr descr="activity6A-cholesterol-II_files/figure-docx/bootstrap-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Where is this distribution centered? Why does this make sense? How does it compare to our Null Distribution from the previous activity?</w:t>
      </w:r>
    </w:p>
    <w:p>
      <w:pPr>
        <w:numPr>
          <w:ilvl w:val="0"/>
          <w:numId w:val="1009"/>
        </w:numPr>
        <w:pStyle w:val="Compact"/>
      </w:pPr>
      <w:r>
        <w:t xml:space="preserve">What are the two ways we could use this distribution to obtain a confidence interval?</w:t>
      </w:r>
    </w:p>
    <w:p>
      <w:r>
        <w:br w:type="page"/>
      </w:r>
    </w:p>
    <w:bookmarkEnd w:id="28"/>
    <w:bookmarkStart w:id="29" w:name="percentile-method"/>
    <w:p>
      <w:pPr>
        <w:pStyle w:val="Heading2"/>
      </w:pPr>
      <w:r>
        <w:t xml:space="preserve">Percentile method</w:t>
      </w:r>
    </w:p>
    <w:p>
      <w:pPr>
        <w:pStyle w:val="FirstParagraph"/>
      </w:pPr>
      <w:r>
        <w:t xml:space="preserve">I’ve provided a table of different percentiles to help you create your confidence interval.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Quantile</w:t>
            </w:r>
          </w:p>
        </w:tc>
        <w:tc>
          <w:tcPr/>
          <w:p>
            <w:pPr>
              <w:pStyle w:val="Compact"/>
              <w:jc w:val="right"/>
            </w:pPr>
            <w:r>
              <w:t xml:space="preserve">Value</w:t>
            </w:r>
          </w:p>
        </w:tc>
      </w:tr>
      <w:tr>
        <w:tc>
          <w:tcPr/>
          <w:p>
            <w:pPr>
              <w:pStyle w:val="Compact"/>
              <w:jc w:val="left"/>
            </w:pPr>
            <w:r>
              <w:t xml:space="preserve">0.5%</w:t>
            </w:r>
          </w:p>
        </w:tc>
        <w:tc>
          <w:tcPr/>
          <w:p>
            <w:pPr>
              <w:pStyle w:val="Compact"/>
              <w:jc w:val="right"/>
            </w:pPr>
            <w:r>
              <w:t xml:space="preserve">-0.298</w:t>
            </w:r>
          </w:p>
        </w:tc>
      </w:tr>
      <w:tr>
        <w:tc>
          <w:tcPr/>
          <w:p>
            <w:pPr>
              <w:pStyle w:val="Compact"/>
              <w:jc w:val="left"/>
            </w:pPr>
            <w:r>
              <w:t xml:space="preserve">1%</w:t>
            </w:r>
          </w:p>
        </w:tc>
        <w:tc>
          <w:tcPr/>
          <w:p>
            <w:pPr>
              <w:pStyle w:val="Compact"/>
              <w:jc w:val="right"/>
            </w:pPr>
            <w:r>
              <w:t xml:space="preserve">-0.572</w:t>
            </w:r>
          </w:p>
        </w:tc>
      </w:tr>
      <w:tr>
        <w:tc>
          <w:tcPr/>
          <w:p>
            <w:pPr>
              <w:pStyle w:val="Compact"/>
              <w:jc w:val="left"/>
            </w:pPr>
            <w:r>
              <w:t xml:space="preserve">2.5%</w:t>
            </w:r>
          </w:p>
        </w:tc>
        <w:tc>
          <w:tcPr/>
          <w:p>
            <w:pPr>
              <w:pStyle w:val="Compact"/>
              <w:jc w:val="right"/>
            </w:pPr>
            <w:r>
              <w:t xml:space="preserve">-0.446</w:t>
            </w:r>
          </w:p>
        </w:tc>
      </w:tr>
      <w:tr>
        <w:tc>
          <w:tcPr/>
          <w:p>
            <w:pPr>
              <w:pStyle w:val="Compact"/>
              <w:jc w:val="left"/>
            </w:pPr>
            <w:r>
              <w:t xml:space="preserve">5%</w:t>
            </w:r>
          </w:p>
        </w:tc>
        <w:tc>
          <w:tcPr/>
          <w:p>
            <w:pPr>
              <w:pStyle w:val="Compact"/>
              <w:jc w:val="right"/>
            </w:pPr>
            <w:r>
              <w:t xml:space="preserve">-0.298</w:t>
            </w:r>
          </w:p>
        </w:tc>
      </w:tr>
      <w:tr>
        <w:tc>
          <w:tcPr/>
          <w:p>
            <w:pPr>
              <w:pStyle w:val="Compact"/>
              <w:jc w:val="left"/>
            </w:pPr>
            <w:r>
              <w:t xml:space="preserve">90%</w:t>
            </w:r>
          </w:p>
        </w:tc>
        <w:tc>
          <w:tcPr/>
          <w:p>
            <w:pPr>
              <w:pStyle w:val="Compact"/>
              <w:jc w:val="right"/>
            </w:pPr>
            <w:r>
              <w:t xml:space="preserve">0.824</w:t>
            </w:r>
          </w:p>
        </w:tc>
      </w:tr>
      <w:tr>
        <w:tc>
          <w:tcPr/>
          <w:p>
            <w:pPr>
              <w:pStyle w:val="Compact"/>
              <w:jc w:val="left"/>
            </w:pPr>
            <w:r>
              <w:t xml:space="preserve">95%</w:t>
            </w:r>
          </w:p>
        </w:tc>
        <w:tc>
          <w:tcPr/>
          <w:p>
            <w:pPr>
              <w:pStyle w:val="Compact"/>
              <w:jc w:val="right"/>
            </w:pPr>
            <w:r>
              <w:t xml:space="preserve">0.992</w:t>
            </w:r>
          </w:p>
        </w:tc>
      </w:tr>
      <w:tr>
        <w:tc>
          <w:tcPr/>
          <w:p>
            <w:pPr>
              <w:pStyle w:val="Compact"/>
              <w:jc w:val="left"/>
            </w:pPr>
            <w:r>
              <w:t xml:space="preserve">97.5%</w:t>
            </w:r>
          </w:p>
        </w:tc>
        <w:tc>
          <w:tcPr/>
          <w:p>
            <w:pPr>
              <w:pStyle w:val="Compact"/>
              <w:jc w:val="right"/>
            </w:pPr>
            <w:r>
              <w:t xml:space="preserve">1.097</w:t>
            </w:r>
          </w:p>
        </w:tc>
      </w:tr>
      <w:tr>
        <w:tc>
          <w:tcPr/>
          <w:p>
            <w:pPr>
              <w:pStyle w:val="Compact"/>
              <w:jc w:val="left"/>
            </w:pPr>
            <w:r>
              <w:t xml:space="preserve">99.5%</w:t>
            </w:r>
          </w:p>
        </w:tc>
        <w:tc>
          <w:tcPr/>
          <w:p>
            <w:pPr>
              <w:pStyle w:val="Compact"/>
              <w:jc w:val="right"/>
            </w:pPr>
            <w:r>
              <w:t xml:space="preserve">0.992</w:t>
            </w:r>
          </w:p>
        </w:tc>
      </w:tr>
    </w:tbl>
    <w:p>
      <w:pPr>
        <w:numPr>
          <w:ilvl w:val="0"/>
          <w:numId w:val="1010"/>
        </w:numPr>
        <w:pStyle w:val="Compact"/>
      </w:pPr>
      <w:r>
        <w:t xml:space="preserve">Suppose we are interested in constructing a 95% confidence interval. Using the table above, report the end points of this confidence interval.</w:t>
      </w:r>
    </w:p>
    <w:p>
      <w:pPr>
        <w:numPr>
          <w:ilvl w:val="0"/>
          <w:numId w:val="1011"/>
        </w:numPr>
        <w:pStyle w:val="Compact"/>
      </w:pPr>
      <w:r>
        <w:t xml:space="preserve">Interpret the confidence interval in the context of this investigation.</w:t>
      </w:r>
    </w:p>
    <w:bookmarkEnd w:id="29"/>
    <w:bookmarkStart w:id="30" w:name="se-method"/>
    <w:p>
      <w:pPr>
        <w:pStyle w:val="Heading2"/>
      </w:pPr>
      <w:r>
        <w:t xml:space="preserve">SE method</w:t>
      </w:r>
    </w:p>
    <w:p>
      <w:pPr>
        <w:pStyle w:val="FirstParagraph"/>
      </w:pPr>
      <w:r>
        <w:t xml:space="preserve">A percentile confidence interval uses</w:t>
      </w:r>
      <w:r>
        <w:t xml:space="preserve"> </w:t>
      </w:r>
      <w:r>
        <w:rPr>
          <w:bCs/>
          <w:b/>
        </w:rPr>
        <w:t xml:space="preserve">only</w:t>
      </w:r>
      <w:r>
        <w:t xml:space="preserve"> </w:t>
      </w:r>
      <w:r>
        <w:t xml:space="preserve">the bootstrap distribution. The SE method, on the other hand, uses information from</w:t>
      </w:r>
      <w:r>
        <w:t xml:space="preserve"> </w:t>
      </w:r>
      <w:r>
        <w:rPr>
          <w:bCs/>
          <w:b/>
        </w:rPr>
        <w:t xml:space="preserve">both</w:t>
      </w:r>
      <w:r>
        <w:t xml:space="preserve"> </w:t>
      </w:r>
      <w:r>
        <w:t xml:space="preserve">the bootstrap distribution and the</w:t>
      </w:r>
      <w:r>
        <w:t xml:space="preserve"> </w:t>
      </w:r>
      <m:oMath>
        <m:r>
          <m:t>t</m:t>
        </m:r>
      </m:oMath>
      <w:r>
        <w:t xml:space="preserve">-distribution.</w:t>
      </w:r>
    </w:p>
    <w:p>
      <w:pPr>
        <w:pStyle w:val="BodyText"/>
      </w:pPr>
      <w:r>
        <w:t xml:space="preserve">Because this method uses a</w:t>
      </w:r>
      <w:r>
        <w:t xml:space="preserve"> </w:t>
      </w:r>
      <m:oMath>
        <m:r>
          <m:t>t</m:t>
        </m:r>
      </m:oMath>
      <w:r>
        <w:t xml:space="preserve">-distribution it should only be used</w:t>
      </w:r>
      <w:r>
        <w:t xml:space="preserve"> </w:t>
      </w:r>
      <w:r>
        <w:rPr>
          <w:bCs/>
          <w:b/>
        </w:rPr>
        <w:t xml:space="preserve">if the bootstrap distribution is bell-shaped and symmetric</w:t>
      </w:r>
      <w:r>
        <w:t xml:space="preserve">.</w:t>
      </w:r>
    </w:p>
    <w:p>
      <w:pPr>
        <w:numPr>
          <w:ilvl w:val="0"/>
          <w:numId w:val="1012"/>
        </w:numPr>
        <w:pStyle w:val="Compact"/>
      </w:pPr>
      <w:r>
        <w:t xml:space="preserve">Do you believe this condition is violated?</w:t>
      </w:r>
    </w:p>
    <w:p>
      <w:r>
        <w:br w:type="page"/>
      </w:r>
    </w:p>
    <w:p>
      <w:pPr>
        <w:pStyle w:val="FirstParagraph"/>
      </w:pPr>
      <w:r>
        <w:t xml:space="preserve">Alright, let’s see how this confidence interval works. Our formula looks like this:</w:t>
      </w:r>
    </w:p>
    <w:p>
      <w:pPr>
        <w:pStyle w:val="BodyText"/>
      </w:pPr>
      <m:oMathPara>
        <m:oMathParaPr>
          <m:jc m:val="center"/>
        </m:oMathParaPr>
        <m:oMath>
          <m:d>
            <m:dPr>
              <m:begChr m:val="("/>
              <m:endChr m:val=")"/>
              <m:sepChr m:val=""/>
              <m:grow/>
            </m:dPr>
            <m:e>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e>
          </m:d>
          <m:r>
            <m:rPr>
              <m:sty m:val="p"/>
            </m:rPr>
            <m:t>±</m:t>
          </m:r>
          <m:sSubSup>
            <m:e>
              <m:r>
                <m:t>t</m:t>
              </m:r>
            </m:e>
            <m:sub>
              <m:r>
                <m:t>d</m:t>
              </m:r>
              <m:r>
                <m:t>f</m:t>
              </m:r>
            </m:sub>
            <m:sup>
              <m:r>
                <m:rPr>
                  <m:sty m:val="p"/>
                </m:rPr>
                <m:t>*</m:t>
              </m:r>
            </m:sup>
          </m:sSubSup>
          <m:r>
            <m:rPr>
              <m:sty m:val="p"/>
            </m:rPr>
            <m:t>×</m:t>
          </m:r>
          <m:r>
            <m:t>S</m:t>
          </m:r>
          <m:sSub>
            <m:e>
              <m:r>
                <m:t>E</m:t>
              </m:r>
            </m:e>
            <m:sub>
              <m:r>
                <m:t>b</m:t>
              </m:r>
              <m:r>
                <m:t>o</m:t>
              </m:r>
              <m:r>
                <m:t>o</m:t>
              </m:r>
              <m:r>
                <m:t>t</m:t>
              </m:r>
            </m:sub>
          </m:sSub>
        </m:oMath>
      </m:oMathPara>
    </w:p>
    <w:p>
      <w:pPr>
        <w:pStyle w:val="FirstParagraph"/>
      </w:pPr>
      <w:r>
        <w:t xml:space="preserve">There are three pieces to the interval:</w:t>
      </w:r>
    </w:p>
    <w:p>
      <w:pPr>
        <w:numPr>
          <w:ilvl w:val="0"/>
          <w:numId w:val="1013"/>
        </w:numPr>
        <w:pStyle w:val="Compact"/>
      </w:pPr>
      <w:r>
        <w:t xml:space="preserve">the observed statistic (</w:t>
      </w:r>
      <m:oMath>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oMath>
      <w:r>
        <w:t xml:space="preserve">)</w:t>
      </w:r>
    </w:p>
    <w:p>
      <w:pPr>
        <w:numPr>
          <w:ilvl w:val="0"/>
          <w:numId w:val="1013"/>
        </w:numPr>
        <w:pStyle w:val="Compact"/>
      </w:pPr>
      <w:r>
        <w:t xml:space="preserve">the</w:t>
      </w:r>
      <w:r>
        <w:t xml:space="preserve"> </w:t>
      </w:r>
      <m:oMath>
        <m:r>
          <m:t>t</m:t>
        </m:r>
      </m:oMath>
      <w:r>
        <w:t xml:space="preserve">-distribution multiplier (</w:t>
      </w:r>
      <m:oMath>
        <m:sSubSup>
          <m:e>
            <m:r>
              <m:t>t</m:t>
            </m:r>
          </m:e>
          <m:sub>
            <m:r>
              <m:t>d</m:t>
            </m:r>
            <m:r>
              <m:t>f</m:t>
            </m:r>
          </m:sub>
          <m:sup>
            <m:r>
              <m:rPr>
                <m:sty m:val="p"/>
              </m:rPr>
              <m:t>*</m:t>
            </m:r>
          </m:sup>
        </m:sSubSup>
      </m:oMath>
      <w:r>
        <w:t xml:space="preserve">)</w:t>
      </w:r>
    </w:p>
    <w:p>
      <w:pPr>
        <w:numPr>
          <w:ilvl w:val="0"/>
          <w:numId w:val="1013"/>
        </w:numPr>
        <w:pStyle w:val="Compact"/>
      </w:pPr>
      <w:r>
        <w:t xml:space="preserve">the standard error from the bootstrap distribution (</w:t>
      </w:r>
      <m:oMath>
        <m:r>
          <m:t>S</m:t>
        </m:r>
        <m:sSub>
          <m:e>
            <m:r>
              <m:t>E</m:t>
            </m:r>
          </m:e>
          <m:sub>
            <m:r>
              <m:t>b</m:t>
            </m:r>
            <m:r>
              <m:t>o</m:t>
            </m:r>
            <m:r>
              <m:t>o</m:t>
            </m:r>
            <m:r>
              <m:t>t</m:t>
            </m:r>
          </m:sub>
        </m:sSub>
      </m:oMath>
      <w:r>
        <w:t xml:space="preserve">)</w:t>
      </w:r>
    </w:p>
    <w:p>
      <w:pPr>
        <w:numPr>
          <w:ilvl w:val="0"/>
          <w:numId w:val="1014"/>
        </w:numPr>
        <w:pStyle w:val="Compact"/>
      </w:pPr>
      <w:r>
        <w:t xml:space="preserve">What is the observed statistic (aka point estimate) for this investigation?</w:t>
      </w:r>
    </w:p>
    <w:p>
      <w:pPr>
        <w:numPr>
          <w:ilvl w:val="0"/>
          <w:numId w:val="1015"/>
        </w:numPr>
        <w:pStyle w:val="Compact"/>
      </w:pPr>
      <w:r>
        <w:t xml:space="preserve">Using the table below, what is the standard deviation for the bootstrap distribution (aka the estimated standard error for the difference in mean cholesterol levels)?</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stat, </w:t>
      </w:r>
      <w:r>
        <w:rPr>
          <w:rStyle w:val="AttributeTok"/>
        </w:rPr>
        <w:t xml:space="preserve">data =</w:t>
      </w:r>
      <w:r>
        <w:rPr>
          <w:rStyle w:val="NormalTok"/>
        </w:rPr>
        <w:t xml:space="preserve"> bootstrap_dist)</w:t>
      </w:r>
    </w:p>
    <w:p>
      <w:pPr>
        <w:pStyle w:val="SourceCode"/>
      </w:pPr>
      <w:r>
        <w:rPr>
          <w:rStyle w:val="VerbatimChar"/>
        </w:rPr>
        <w:t xml:space="preserve">        min       Q1    median       Q3      max      mean        sd    n</w:t>
      </w:r>
      <w:r>
        <w:br/>
      </w:r>
      <w:r>
        <w:rPr>
          <w:rStyle w:val="VerbatimChar"/>
        </w:rPr>
        <w:t xml:space="preserve"> -0.8588718 0.103817 0.3650861 0.618274 1.557857 0.3538702 0.3847116 1000</w:t>
      </w:r>
      <w:r>
        <w:br/>
      </w:r>
      <w:r>
        <w:rPr>
          <w:rStyle w:val="VerbatimChar"/>
        </w:rPr>
        <w:t xml:space="preserve"> missing</w:t>
      </w:r>
      <w:r>
        <w:br/>
      </w:r>
      <w:r>
        <w:rPr>
          <w:rStyle w:val="VerbatimChar"/>
        </w:rPr>
        <w:t xml:space="preserve">       0</w:t>
      </w:r>
    </w:p>
    <w:p>
      <w:pPr>
        <w:numPr>
          <w:ilvl w:val="0"/>
          <w:numId w:val="1016"/>
        </w:numPr>
        <w:pStyle w:val="Compact"/>
      </w:pPr>
      <w:r>
        <w:t xml:space="preserve">Using the table below, circle the correct multiplier we should use to make our interval.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rStyle w:val="VerbatimChar"/>
              </w:rPr>
              <w:t xml:space="preserve">R</w:t>
            </w:r>
            <w:r>
              <w:t xml:space="preserve"> </w:t>
            </w:r>
            <w:r>
              <w:t xml:space="preserve">code</w:t>
            </w:r>
          </w:p>
        </w:tc>
        <w:tc>
          <w:tcPr/>
          <w:p>
            <w:pPr>
              <w:pStyle w:val="Compact"/>
              <w:jc w:val="center"/>
            </w:pPr>
            <w:r>
              <w:t xml:space="preserve">Value</w:t>
            </w:r>
          </w:p>
        </w:tc>
      </w:tr>
      <w:tr>
        <w:tc>
          <w:tcPr/>
          <w:p>
            <w:pPr>
              <w:pStyle w:val="Compact"/>
              <w:jc w:val="left"/>
            </w:pPr>
            <w:r>
              <w:rPr>
                <w:rStyle w:val="VerbatimChar"/>
              </w:rPr>
              <w:t xml:space="preserve">qt(0.90, df = 12)</w:t>
            </w:r>
          </w:p>
        </w:tc>
        <w:tc>
          <w:tcPr/>
          <w:p>
            <w:pPr>
              <w:pStyle w:val="Compact"/>
              <w:jc w:val="center"/>
            </w:pPr>
            <w:r>
              <w:t xml:space="preserve">1.3562173</w:t>
            </w:r>
          </w:p>
        </w:tc>
      </w:tr>
      <w:tr>
        <w:tc>
          <w:tcPr/>
          <w:p>
            <w:pPr>
              <w:pStyle w:val="Compact"/>
              <w:jc w:val="left"/>
            </w:pPr>
            <w:r>
              <w:rPr>
                <w:rStyle w:val="VerbatimChar"/>
              </w:rPr>
              <w:t xml:space="preserve">qt(0.90, df = 13)</w:t>
            </w:r>
          </w:p>
        </w:tc>
        <w:tc>
          <w:tcPr/>
          <w:p>
            <w:pPr>
              <w:pStyle w:val="Compact"/>
              <w:jc w:val="center"/>
            </w:pPr>
            <w:r>
              <w:t xml:space="preserve">1.3501713</w:t>
            </w:r>
          </w:p>
        </w:tc>
      </w:tr>
      <w:tr>
        <w:tc>
          <w:tcPr/>
          <w:p>
            <w:pPr>
              <w:pStyle w:val="Compact"/>
              <w:jc w:val="left"/>
            </w:pPr>
            <w:r>
              <w:rPr>
                <w:rStyle w:val="VerbatimChar"/>
              </w:rPr>
              <w:t xml:space="preserve">qt(0.90, df = 26)</w:t>
            </w:r>
          </w:p>
        </w:tc>
        <w:tc>
          <w:tcPr/>
          <w:p>
            <w:pPr>
              <w:pStyle w:val="Compact"/>
              <w:jc w:val="center"/>
            </w:pPr>
            <w:r>
              <w:t xml:space="preserve">1.3149719</w:t>
            </w:r>
          </w:p>
        </w:tc>
      </w:tr>
      <w:tr>
        <w:tc>
          <w:tcPr/>
          <w:p>
            <w:pPr>
              <w:pStyle w:val="Compact"/>
              <w:jc w:val="left"/>
            </w:pPr>
            <w:r>
              <w:rPr>
                <w:rStyle w:val="VerbatimChar"/>
              </w:rPr>
              <w:t xml:space="preserve">qt(0.95, df = 12)</w:t>
            </w:r>
          </w:p>
        </w:tc>
        <w:tc>
          <w:tcPr/>
          <w:p>
            <w:pPr>
              <w:pStyle w:val="Compact"/>
              <w:jc w:val="center"/>
            </w:pPr>
            <w:r>
              <w:t xml:space="preserve">1.7822876</w:t>
            </w:r>
          </w:p>
        </w:tc>
      </w:tr>
      <w:tr>
        <w:tc>
          <w:tcPr/>
          <w:p>
            <w:pPr>
              <w:pStyle w:val="Compact"/>
              <w:jc w:val="left"/>
            </w:pPr>
            <w:r>
              <w:rPr>
                <w:rStyle w:val="VerbatimChar"/>
              </w:rPr>
              <w:t xml:space="preserve">qt(0.95, df = 13)</w:t>
            </w:r>
          </w:p>
        </w:tc>
        <w:tc>
          <w:tcPr/>
          <w:p>
            <w:pPr>
              <w:pStyle w:val="Compact"/>
              <w:jc w:val="center"/>
            </w:pPr>
            <w:r>
              <w:t xml:space="preserve">1.7709334</w:t>
            </w:r>
          </w:p>
        </w:tc>
      </w:tr>
      <w:tr>
        <w:tc>
          <w:tcPr/>
          <w:p>
            <w:pPr>
              <w:pStyle w:val="Compact"/>
              <w:jc w:val="left"/>
            </w:pPr>
            <w:r>
              <w:rPr>
                <w:rStyle w:val="VerbatimChar"/>
              </w:rPr>
              <w:t xml:space="preserve">qt(0.95, df = 26)</w:t>
            </w:r>
          </w:p>
        </w:tc>
        <w:tc>
          <w:tcPr/>
          <w:p>
            <w:pPr>
              <w:pStyle w:val="Compact"/>
              <w:jc w:val="center"/>
            </w:pPr>
            <w:r>
              <w:t xml:space="preserve">1.7056179</w:t>
            </w:r>
          </w:p>
        </w:tc>
      </w:tr>
      <w:tr>
        <w:tc>
          <w:tcPr/>
          <w:p>
            <w:pPr>
              <w:pStyle w:val="Compact"/>
              <w:jc w:val="left"/>
            </w:pPr>
            <w:r>
              <w:rPr>
                <w:rStyle w:val="VerbatimChar"/>
              </w:rPr>
              <w:t xml:space="preserve">qt(0.975, df = 12)</w:t>
            </w:r>
          </w:p>
        </w:tc>
        <w:tc>
          <w:tcPr/>
          <w:p>
            <w:pPr>
              <w:pStyle w:val="Compact"/>
              <w:jc w:val="center"/>
            </w:pPr>
            <w:r>
              <w:t xml:space="preserve">2.1788128</w:t>
            </w:r>
          </w:p>
        </w:tc>
      </w:tr>
      <w:tr>
        <w:tc>
          <w:tcPr/>
          <w:p>
            <w:pPr>
              <w:pStyle w:val="Compact"/>
              <w:jc w:val="left"/>
            </w:pPr>
            <w:r>
              <w:rPr>
                <w:rStyle w:val="VerbatimChar"/>
              </w:rPr>
              <w:t xml:space="preserve">qt(0.975, df = 13)</w:t>
            </w:r>
          </w:p>
        </w:tc>
        <w:tc>
          <w:tcPr/>
          <w:p>
            <w:pPr>
              <w:pStyle w:val="Compact"/>
              <w:jc w:val="center"/>
            </w:pPr>
            <w:r>
              <w:t xml:space="preserve">2.1603687</w:t>
            </w:r>
          </w:p>
        </w:tc>
      </w:tr>
      <w:tr>
        <w:tc>
          <w:tcPr/>
          <w:p>
            <w:pPr>
              <w:pStyle w:val="Compact"/>
              <w:jc w:val="left"/>
            </w:pPr>
            <w:r>
              <w:rPr>
                <w:rStyle w:val="VerbatimChar"/>
              </w:rPr>
              <w:t xml:space="preserve">qt(0.975, df = 26)</w:t>
            </w:r>
          </w:p>
        </w:tc>
        <w:tc>
          <w:tcPr/>
          <w:p>
            <w:pPr>
              <w:pStyle w:val="Compact"/>
              <w:jc w:val="center"/>
            </w:pPr>
            <w:r>
              <w:t xml:space="preserve">2.0555294</w:t>
            </w:r>
          </w:p>
        </w:tc>
      </w:tr>
      <w:tr>
        <w:tc>
          <w:tcPr/>
          <w:p>
            <w:pPr>
              <w:pStyle w:val="Compact"/>
              <w:jc w:val="left"/>
            </w:pPr>
            <w:r>
              <w:rPr>
                <w:rStyle w:val="VerbatimChar"/>
              </w:rPr>
              <w:t xml:space="preserve">qt(0.995, df = 12)</w:t>
            </w:r>
          </w:p>
        </w:tc>
        <w:tc>
          <w:tcPr/>
          <w:p>
            <w:pPr>
              <w:pStyle w:val="Compact"/>
              <w:jc w:val="center"/>
            </w:pPr>
            <w:r>
              <w:t xml:space="preserve">3.0545396</w:t>
            </w:r>
          </w:p>
        </w:tc>
      </w:tr>
      <w:tr>
        <w:tc>
          <w:tcPr/>
          <w:p>
            <w:pPr>
              <w:pStyle w:val="Compact"/>
              <w:jc w:val="left"/>
            </w:pPr>
            <w:r>
              <w:rPr>
                <w:rStyle w:val="VerbatimChar"/>
              </w:rPr>
              <w:t xml:space="preserve">qt(0.995, df = 13)</w:t>
            </w:r>
          </w:p>
        </w:tc>
        <w:tc>
          <w:tcPr/>
          <w:p>
            <w:pPr>
              <w:pStyle w:val="Compact"/>
              <w:jc w:val="center"/>
            </w:pPr>
            <w:r>
              <w:t xml:space="preserve">3.0122758</w:t>
            </w:r>
          </w:p>
        </w:tc>
      </w:tr>
      <w:tr>
        <w:tc>
          <w:tcPr/>
          <w:p>
            <w:pPr>
              <w:pStyle w:val="Compact"/>
              <w:jc w:val="left"/>
            </w:pPr>
            <w:r>
              <w:rPr>
                <w:rStyle w:val="VerbatimChar"/>
              </w:rPr>
              <w:t xml:space="preserve">qt(0.995, df = 26)</w:t>
            </w:r>
          </w:p>
        </w:tc>
        <w:tc>
          <w:tcPr/>
          <w:p>
            <w:pPr>
              <w:pStyle w:val="Compact"/>
              <w:jc w:val="center"/>
            </w:pPr>
            <w:r>
              <w:t xml:space="preserve">2.7787145</w:t>
            </w:r>
          </w:p>
        </w:tc>
      </w:tr>
    </w:tbl>
    <w:p>
      <w:pPr>
        <w:numPr>
          <w:ilvl w:val="0"/>
          <w:numId w:val="1017"/>
        </w:numPr>
        <w:pStyle w:val="Compact"/>
      </w:pPr>
      <w:r>
        <w:t xml:space="preserve">Using your answers to questions 12, 13, and 14, create a 95% confidence interval for the difference in mean cholesterol levels between the corn flake and oat bran diet.</w:t>
      </w:r>
    </w:p>
    <w:p>
      <w:pPr>
        <w:numPr>
          <w:ilvl w:val="0"/>
          <w:numId w:val="1018"/>
        </w:numPr>
        <w:pStyle w:val="Compact"/>
      </w:pPr>
      <w:r>
        <w:t xml:space="preserve">What value do check to see if this interval contains? Does our interval contain this value?</w:t>
      </w:r>
    </w:p>
    <w:bookmarkEnd w:id="30"/>
    <w:bookmarkStart w:id="31" w:name="X10256e0d80c2f59383f7f9b54598ec201d22690"/>
    <w:p>
      <w:pPr>
        <w:pStyle w:val="Heading2"/>
      </w:pPr>
      <w:r>
        <w:t xml:space="preserve">Using the</w:t>
      </w:r>
      <w:r>
        <w:t xml:space="preserve"> </w:t>
      </w:r>
      <m:oMath>
        <m:r>
          <m:t>t</m:t>
        </m:r>
      </m:oMath>
      <w:r>
        <w:t xml:space="preserve">-distribution to create a confidence interval</w:t>
      </w:r>
    </w:p>
    <w:p>
      <w:pPr>
        <w:pStyle w:val="FirstParagraph"/>
      </w:pPr>
      <w:r>
        <w:t xml:space="preserve">So far we’ve found a confidence interval using the percentile and SE methods. Both of these used some aspect of the bootstrap distribution. One final option is to use</w:t>
      </w:r>
      <w:r>
        <w:t xml:space="preserve"> </w:t>
      </w:r>
      <w:r>
        <w:rPr>
          <w:bCs/>
          <w:b/>
        </w:rPr>
        <w:t xml:space="preserve">only</w:t>
      </w:r>
      <w:r>
        <w:t xml:space="preserve"> </w:t>
      </w:r>
      <w:r>
        <w:t xml:space="preserve">the</w:t>
      </w:r>
      <w:r>
        <w:t xml:space="preserve"> </w:t>
      </w:r>
      <m:oMath>
        <m:r>
          <m:t>t</m:t>
        </m:r>
      </m:oMath>
      <w:r>
        <w:t xml:space="preserve">-distribution only to create our confidence interval.</w:t>
      </w:r>
    </w:p>
    <w:p>
      <w:pPr>
        <w:numPr>
          <w:ilvl w:val="0"/>
          <w:numId w:val="1019"/>
        </w:numPr>
        <w:pStyle w:val="Compact"/>
      </w:pPr>
      <w:r>
        <w:t xml:space="preserve">What distribution does a bootstrap distribution approximate?</w:t>
      </w:r>
    </w:p>
    <w:p>
      <w:pPr>
        <w:numPr>
          <w:ilvl w:val="0"/>
          <w:numId w:val="1020"/>
        </w:numPr>
        <w:pStyle w:val="Compact"/>
      </w:pPr>
      <w:r>
        <w:t xml:space="preserve">If we wanted to use a</w:t>
      </w:r>
      <w:r>
        <w:t xml:space="preserve"> </w:t>
      </w:r>
      <m:oMath>
        <m:r>
          <m:t>t</m:t>
        </m:r>
      </m:oMath>
      <w:r>
        <w:t xml:space="preserve">-distribution to approximate this distribution, what conditions do we need to check?</w:t>
      </w:r>
    </w:p>
    <w:p>
      <w:r>
        <w:br w:type="page"/>
      </w:r>
    </w:p>
    <w:p>
      <w:pPr>
        <w:pStyle w:val="FirstParagraph"/>
      </w:pPr>
      <w:r>
        <w:t xml:space="preserve">When we use theory-based methods to obtain our confidence interval, we use formulas to approximate the true standard error of the sampling distribution. So, where we used the standard deviation of the bootstrap distribution, now we will use a mathematical formula.</w:t>
      </w:r>
    </w:p>
    <w:p>
      <w:pPr>
        <w:pStyle w:val="BodyText"/>
      </w:pPr>
      <w:r>
        <w:t xml:space="preserve">The formula for calculating the standard error of</w:t>
      </w:r>
      <w:r>
        <w:t xml:space="preserve"> </w:t>
      </w:r>
      <m:oMath>
        <m:sSub>
          <m:e>
            <m:acc>
              <m:accPr>
                <m:chr m:val="‾"/>
              </m:accPr>
              <m:e>
                <m:r>
                  <m:t>x</m:t>
                </m:r>
              </m:e>
            </m:acc>
          </m:e>
          <m:sub>
            <m:r>
              <m:rPr>
                <m:nor/>
                <m:sty m:val="p"/>
              </m:rPr>
              <m:t>CORNFLK</m:t>
            </m:r>
          </m:sub>
        </m:sSub>
        <m:r>
          <m:rPr>
            <m:sty m:val="p"/>
          </m:rPr>
          <m:t>−</m:t>
        </m:r>
        <m:sSub>
          <m:e>
            <m:acc>
              <m:accPr>
                <m:chr m:val="‾"/>
              </m:accPr>
              <m:e>
                <m:r>
                  <m:t>x</m:t>
                </m:r>
              </m:e>
            </m:acc>
          </m:e>
          <m:sub>
            <m:r>
              <m:rPr>
                <m:nor/>
                <m:sty m:val="p"/>
              </m:rPr>
              <m:t>OATBRAN</m:t>
            </m:r>
          </m:sub>
        </m:sSub>
      </m:oMath>
      <w:r>
        <w:t xml:space="preserve"> </w:t>
      </w:r>
      <w:r>
        <w:t xml:space="preserve">is:</w:t>
      </w:r>
    </w:p>
    <w:p>
      <w:pPr>
        <w:pStyle w:val="BodyText"/>
      </w:pPr>
      <m:oMathPara>
        <m:oMathParaPr>
          <m:jc m:val="center"/>
        </m:oMathParaPr>
        <m:oMath>
          <m:r>
            <m:t>S</m:t>
          </m:r>
          <m:r>
            <m:t>E</m:t>
          </m:r>
          <m:r>
            <m:rPr>
              <m:sty m:val="p"/>
            </m:rPr>
            <m:t>=</m:t>
          </m:r>
          <m:rad>
            <m:radPr>
              <m:degHide m:val="1"/>
            </m:radPr>
            <m:deg/>
            <m:e>
              <m:f>
                <m:fPr>
                  <m:type m:val="bar"/>
                </m:fPr>
                <m:num>
                  <m:sSubSup>
                    <m:e>
                      <m:r>
                        <m:t>s</m:t>
                      </m:r>
                    </m:e>
                    <m:sub>
                      <m:r>
                        <m:rPr>
                          <m:nor/>
                          <m:sty m:val="p"/>
                        </m:rPr>
                        <m:t>CORNFLK</m:t>
                      </m:r>
                    </m:sub>
                    <m:sup>
                      <m:r>
                        <m:t>2</m:t>
                      </m:r>
                    </m:sup>
                  </m:sSubSup>
                </m:num>
                <m:den>
                  <m:sSub>
                    <m:e>
                      <m:r>
                        <m:t>n</m:t>
                      </m:r>
                    </m:e>
                    <m:sub>
                      <m:r>
                        <m:rPr>
                          <m:nor/>
                          <m:sty m:val="p"/>
                        </m:rPr>
                        <m:t>OATBRAN</m:t>
                      </m:r>
                    </m:sub>
                  </m:sSub>
                </m:den>
              </m:f>
              <m:r>
                <m:t>​</m:t>
              </m:r>
              <m:r>
                <m:rPr>
                  <m:sty m:val="p"/>
                </m:rPr>
                <m:t>+</m:t>
              </m:r>
              <m:f>
                <m:fPr>
                  <m:type m:val="bar"/>
                </m:fPr>
                <m:num>
                  <m:sSubSup>
                    <m:e>
                      <m:r>
                        <m:t>s</m:t>
                      </m:r>
                    </m:e>
                    <m:sub>
                      <m:r>
                        <m:rPr>
                          <m:nor/>
                          <m:sty m:val="p"/>
                        </m:rPr>
                        <m:t>CORNFLK</m:t>
                      </m:r>
                    </m:sub>
                    <m:sup>
                      <m:r>
                        <m:t>2</m:t>
                      </m:r>
                    </m:sup>
                  </m:sSubSup>
                </m:num>
                <m:den>
                  <m:sSub>
                    <m:e>
                      <m:r>
                        <m:t>n</m:t>
                      </m:r>
                    </m:e>
                    <m:sub>
                      <m:r>
                        <m:rPr>
                          <m:nor/>
                          <m:sty m:val="p"/>
                        </m:rPr>
                        <m:t>OATBRAN</m:t>
                      </m:r>
                    </m:sub>
                  </m:sSub>
                </m:den>
              </m:f>
            </m:e>
          </m:rad>
        </m:oMath>
      </m:oMathPara>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rPr>
          <w:rStyle w:val="AttributeTok"/>
        </w:rPr>
        <w:t xml:space="preserve">data =</w:t>
      </w:r>
      <w:r>
        <w:rPr>
          <w:rStyle w:val="NormalTok"/>
        </w:rPr>
        <w:t xml:space="preserve"> cholesterol_data_long)</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21"/>
        </w:numPr>
        <w:pStyle w:val="Compact"/>
      </w:pPr>
      <w:r>
        <w:t xml:space="preserve">Using the formula and the summary statistics above, calculate the estimated standard error of the sampling distribution.</w:t>
      </w:r>
      <w:r>
        <w:t xml:space="preserve"> </w:t>
      </w:r>
      <w:r>
        <w:rPr>
          <w:iCs/>
          <w:i/>
        </w:rPr>
        <w:t xml:space="preserve">Hint:</w:t>
      </w:r>
      <w:r>
        <w:t xml:space="preserve"> </w:t>
      </w:r>
      <w:r>
        <w:t xml:space="preserve">In the formula above,</w:t>
      </w:r>
      <w:r>
        <w:t xml:space="preserve"> </w:t>
      </w:r>
      <m:oMath>
        <m:r>
          <m:t>s</m:t>
        </m:r>
      </m:oMath>
      <w:r>
        <w:t xml:space="preserve"> </w:t>
      </w:r>
      <w:r>
        <w:t xml:space="preserve">is the standard deviation!</w:t>
      </w:r>
    </w:p>
    <w:p>
      <w:pPr>
        <w:pStyle w:val="FirstParagraph"/>
      </w:pPr>
      <w:r>
        <w:t xml:space="preserve">Now that we have the standard error, we can put all of the pieces of the confidence interval together! The</w:t>
      </w:r>
      <w:r>
        <w:t xml:space="preserve"> </w:t>
      </w:r>
      <w:r>
        <w:t xml:space="preserve">“</w:t>
      </w:r>
      <w:r>
        <w:t xml:space="preserve">formula</w:t>
      </w:r>
      <w:r>
        <w:t xml:space="preserve">”</w:t>
      </w:r>
      <w:r>
        <w:t xml:space="preserve"> </w:t>
      </w:r>
      <w:r>
        <w:t xml:space="preserve">for a</w:t>
      </w:r>
      <w:r>
        <w:t xml:space="preserve"> </w:t>
      </w:r>
      <m:oMath>
        <m:r>
          <m:t>t</m:t>
        </m:r>
      </m:oMath>
      <w:r>
        <w:t xml:space="preserve">-based confidence interval is:</w:t>
      </w:r>
    </w:p>
    <w:p>
      <w:pPr>
        <w:pStyle w:val="BodyText"/>
      </w:pPr>
      <m:oMathPara>
        <m:oMathParaPr>
          <m:jc m:val="center"/>
        </m:oMathParaPr>
        <m:oMath>
          <m:sSub>
            <m:e>
              <m:bar>
                <m:barPr>
                  <m:pos m:val="top"/>
                </m:barPr>
                <m:e>
                  <m:r>
                    <m:t>x</m:t>
                  </m:r>
                </m:e>
              </m:bar>
            </m:e>
            <m:sub>
              <m:r>
                <m:rPr>
                  <m:nor/>
                  <m:sty m:val="p"/>
                </m:rPr>
                <m:t>CORNFLK</m:t>
              </m:r>
            </m:sub>
          </m:sSub>
          <m:r>
            <m:rPr>
              <m:sty m:val="p"/>
            </m:rPr>
            <m:t>−</m:t>
          </m:r>
          <m:sSub>
            <m:e>
              <m:bar>
                <m:barPr>
                  <m:pos m:val="top"/>
                </m:barPr>
                <m:e>
                  <m:r>
                    <m:t>x</m:t>
                  </m:r>
                </m:e>
              </m:bar>
            </m:e>
            <m:sub>
              <m:r>
                <m:rPr>
                  <m:nor/>
                  <m:sty m:val="p"/>
                </m:rPr>
                <m:t>OATBRAN</m:t>
              </m:r>
            </m:sub>
          </m:sSub>
          <m:r>
            <m:rPr>
              <m:sty m:val="p"/>
            </m:rPr>
            <m:t>±</m:t>
          </m:r>
          <m:sSubSup>
            <m:e>
              <m:r>
                <m:t>t</m:t>
              </m:r>
            </m:e>
            <m:sub>
              <m:r>
                <m:t>d</m:t>
              </m:r>
              <m:r>
                <m:t>f</m:t>
              </m:r>
            </m:sub>
            <m:sup>
              <m:r>
                <m:rPr>
                  <m:sty m:val="p"/>
                </m:rPr>
                <m:t>*</m:t>
              </m:r>
            </m:sup>
          </m:sSubSup>
          <m:r>
            <m:rPr>
              <m:sty m:val="p"/>
            </m:rPr>
            <m:t>×</m:t>
          </m:r>
          <m:r>
            <m:t>S</m:t>
          </m:r>
          <m:r>
            <m:t>E</m:t>
          </m:r>
        </m:oMath>
      </m:oMathPara>
    </w:p>
    <w:p>
      <w:pPr>
        <w:numPr>
          <w:ilvl w:val="0"/>
          <w:numId w:val="1022"/>
        </w:numPr>
        <w:pStyle w:val="Compact"/>
      </w:pPr>
      <w:r>
        <w:t xml:space="preserve">Using the multiplier you found in #14, calculate a 95% confidence interval for</w:t>
      </w:r>
      <w:r>
        <w:t xml:space="preserve"> </w:t>
      </w:r>
      <m:oMath>
        <m:sSub>
          <m:e>
            <m:r>
              <m:t>μ</m:t>
            </m:r>
          </m:e>
          <m:sub>
            <m:r>
              <m:rPr>
                <m:nor/>
                <m:sty m:val="p"/>
              </m:rPr>
              <m:t>CORNFLK</m:t>
            </m:r>
          </m:sub>
        </m:sSub>
        <m:r>
          <m:rPr>
            <m:sty m:val="p"/>
          </m:rPr>
          <m:t>−</m:t>
        </m:r>
        <m:sSub>
          <m:e>
            <m:r>
              <m:t>μ</m:t>
            </m:r>
          </m:e>
          <m:sub>
            <m:r>
              <m:rPr>
                <m:nor/>
                <m:sty m:val="p"/>
              </m:rPr>
              <m:t>OATBRAN</m:t>
            </m:r>
          </m:sub>
        </m:sSub>
      </m:oMath>
      <w:r>
        <w:t xml:space="preserve">.</w:t>
      </w:r>
    </w:p>
    <w:p>
      <w:pPr>
        <w:numPr>
          <w:ilvl w:val="0"/>
          <w:numId w:val="1023"/>
        </w:numPr>
        <w:pStyle w:val="Compact"/>
      </w:pPr>
      <w:r>
        <w:t xml:space="preserve">Alright, you’ve made</w:t>
      </w:r>
      <w:r>
        <w:t xml:space="preserve"> </w:t>
      </w:r>
      <w:r>
        <w:rPr>
          <w:bCs/>
          <w:b/>
        </w:rPr>
        <w:t xml:space="preserve">three</w:t>
      </w:r>
      <w:r>
        <w:t xml:space="preserve"> </w:t>
      </w:r>
      <w:r>
        <w:t xml:space="preserve">confidence intervals. How are they similar or different?</w:t>
      </w:r>
    </w:p>
    <w:p>
      <w:r>
        <w:br w:type="page"/>
      </w:r>
    </w:p>
    <w:bookmarkEnd w:id="31"/>
    <w:bookmarkStart w:id="32" w:name="take-home-messages"/>
    <w:p>
      <w:pPr>
        <w:pStyle w:val="Heading2"/>
      </w:pPr>
      <w:r>
        <w:t xml:space="preserve">Take-home messages</w:t>
      </w:r>
    </w:p>
    <w:p>
      <w:pPr>
        <w:numPr>
          <w:ilvl w:val="0"/>
          <w:numId w:val="1024"/>
        </w:numPr>
      </w:pPr>
      <w:r>
        <w:t xml:space="preserve">To create one simulated sample on the bootstrap distribution for a difference in sample means, label</w:t>
      </w:r>
      <w:r>
        <w:t xml:space="preserve"> </w:t>
      </w:r>
      <m:oMath>
        <m:sSub>
          <m:e>
            <m:r>
              <m:t>n</m:t>
            </m:r>
          </m:e>
          <m:sub>
            <m:r>
              <m:t>1</m:t>
            </m:r>
          </m:sub>
        </m:sSub>
        <m:r>
          <m:rPr>
            <m:sty m:val="p"/>
          </m:rPr>
          <m:t>+</m:t>
        </m:r>
        <m:sSub>
          <m:e>
            <m:r>
              <m:t>n</m:t>
            </m:r>
          </m:e>
          <m:sub>
            <m:r>
              <m:t>2</m:t>
            </m:r>
          </m:sub>
        </m:sSub>
      </m:oMath>
      <w:r>
        <w:t xml:space="preserve"> </w:t>
      </w:r>
      <w:r>
        <w:t xml:space="preserve">cards with the original response values. Keep groups separate and randomly draw with replacement</w:t>
      </w:r>
      <w:r>
        <w:t xml:space="preserve"> </w:t>
      </w:r>
      <m:oMath>
        <m:sSub>
          <m:e>
            <m:r>
              <m:t>n</m:t>
            </m:r>
          </m:e>
          <m:sub>
            <m:r>
              <m:t>1</m:t>
            </m:r>
          </m:sub>
        </m:sSub>
      </m:oMath>
      <w:r>
        <w:t xml:space="preserve"> </w:t>
      </w:r>
      <w:r>
        <w:t xml:space="preserve">times from group 1 and</w:t>
      </w:r>
      <w:r>
        <w:t xml:space="preserve"> </w:t>
      </w:r>
      <m:oMath>
        <m:sSub>
          <m:e>
            <m:r>
              <m:t>n</m:t>
            </m:r>
          </m:e>
          <m:sub>
            <m:r>
              <m:t>2</m:t>
            </m:r>
          </m:sub>
        </m:sSub>
      </m:oMath>
      <w:r>
        <w:t xml:space="preserve"> </w:t>
      </w:r>
      <w:r>
        <w:t xml:space="preserve">times from group 2. Calculate and plot the resampled difference in means.</w:t>
      </w:r>
    </w:p>
    <w:p>
      <w:pPr>
        <w:numPr>
          <w:ilvl w:val="0"/>
          <w:numId w:val="1024"/>
        </w:numPr>
      </w:pPr>
      <w:r>
        <w:t xml:space="preserve">When using a bootstrap distribution to obtain a confidence interval, there are two methods you can use: the percentile method and the SE method.</w:t>
      </w:r>
    </w:p>
    <w:p>
      <w:pPr>
        <w:numPr>
          <w:ilvl w:val="0"/>
          <w:numId w:val="1024"/>
        </w:numPr>
      </w:pPr>
      <w:r>
        <w:t xml:space="preserve">The SE method for creating confidence intervals requires the bootstrap distribution be bell-shaped and symmetric.</w:t>
      </w:r>
    </w:p>
    <w:p>
      <w:pPr>
        <w:numPr>
          <w:ilvl w:val="0"/>
          <w:numId w:val="1024"/>
        </w:numPr>
      </w:pPr>
      <w:r>
        <w:t xml:space="preserve">The percentile method makes no assumptions about the shape of the bootstrap distribution.</w:t>
      </w:r>
    </w:p>
    <w:p>
      <w:pPr>
        <w:numPr>
          <w:ilvl w:val="0"/>
          <w:numId w:val="1024"/>
        </w:numPr>
      </w:pPr>
      <w:r>
        <w:t xml:space="preserve">You can choose between simulation-based methods (e.g., bootstrapping) and theory-based methods (e.g.,</w:t>
      </w:r>
      <w:r>
        <w:t xml:space="preserve"> </w:t>
      </w:r>
      <m:oMath>
        <m:r>
          <m:t>t</m:t>
        </m:r>
      </m:oMath>
      <w:r>
        <w:t xml:space="preserve">-distribution) to create a confidence interval.</w:t>
      </w:r>
    </w:p>
    <w:p>
      <w:pPr>
        <w:numPr>
          <w:ilvl w:val="0"/>
          <w:numId w:val="1024"/>
        </w:numPr>
      </w:pPr>
      <w:r>
        <w:t xml:space="preserve">Simulation-based conditions only require that the observations are independent.</w:t>
      </w:r>
    </w:p>
    <w:p>
      <w:pPr>
        <w:numPr>
          <w:ilvl w:val="0"/>
          <w:numId w:val="1024"/>
        </w:numPr>
      </w:pPr>
      <w:r>
        <w:t xml:space="preserve">Theory-based methods require that the observations are independent</w:t>
      </w:r>
      <w:r>
        <w:t xml:space="preserve"> </w:t>
      </w:r>
      <w:r>
        <w:rPr>
          <w:bCs/>
          <w:b/>
        </w:rPr>
        <w:t xml:space="preserve">and</w:t>
      </w:r>
      <w:r>
        <w:t xml:space="preserve"> </w:t>
      </w:r>
      <w:r>
        <w:t xml:space="preserve">that the distribution of each group is nearly normal.</w:t>
      </w:r>
    </w:p>
    <w:p>
      <w:pPr>
        <w:numPr>
          <w:ilvl w:val="0"/>
          <w:numId w:val="1024"/>
        </w:numPr>
      </w:pPr>
      <w:r>
        <w:t xml:space="preserve">If the conditions for theory-based methods</w:t>
      </w:r>
      <w:r>
        <w:t xml:space="preserve"> </w:t>
      </w:r>
      <w:r>
        <w:rPr>
          <w:bCs/>
          <w:b/>
        </w:rPr>
        <w:t xml:space="preserve">are not</w:t>
      </w:r>
      <w:r>
        <w:t xml:space="preserve"> </w:t>
      </w:r>
      <w:r>
        <w:t xml:space="preserve">violated, then both methods (theory &amp; simulation) will yield similar results.</w:t>
      </w:r>
    </w:p>
    <w:p>
      <w:pPr>
        <w:numPr>
          <w:ilvl w:val="0"/>
          <w:numId w:val="1024"/>
        </w:numPr>
      </w:pPr>
      <w:r>
        <w:t xml:space="preserve">If the conditions for theory-based methods</w:t>
      </w:r>
      <w:r>
        <w:t xml:space="preserve"> </w:t>
      </w:r>
      <w:r>
        <w:rPr>
          <w:bCs/>
          <w:b/>
        </w:rPr>
        <w:t xml:space="preserve">are</w:t>
      </w:r>
      <w:r>
        <w:t xml:space="preserve"> </w:t>
      </w:r>
      <w:r>
        <w:t xml:space="preserve">violated, then the methods</w:t>
      </w:r>
      <w:r>
        <w:t xml:space="preserve"> </w:t>
      </w:r>
      <w:r>
        <w:rPr>
          <w:bCs/>
          <w:b/>
        </w:rPr>
        <w:t xml:space="preserve">will not</w:t>
      </w:r>
      <w:r>
        <w:t xml:space="preserve"> </w:t>
      </w:r>
      <w:r>
        <w:t xml:space="preserve">yield similar results.</w:t>
      </w:r>
    </w:p>
    <w:p>
      <w:pPr>
        <w:numPr>
          <w:ilvl w:val="0"/>
          <w:numId w:val="1024"/>
        </w:numPr>
      </w:pPr>
      <w:r>
        <w:t xml:space="preserve">If the conditions for theory-based methods</w:t>
      </w:r>
      <w:r>
        <w:t xml:space="preserve"> </w:t>
      </w:r>
      <w:r>
        <w:rPr>
          <w:bCs/>
          <w:b/>
        </w:rPr>
        <w:t xml:space="preserve">are</w:t>
      </w:r>
      <w:r>
        <w:t xml:space="preserve"> </w:t>
      </w:r>
      <w:r>
        <w:t xml:space="preserve">violated, using a</w:t>
      </w:r>
      <w:r>
        <w:t xml:space="preserve"> </w:t>
      </w:r>
      <m:oMath>
        <m:r>
          <m:t>t</m:t>
        </m:r>
      </m:oMath>
      <w:r>
        <w:t xml:space="preserve">-distribution to find a p-value will</w:t>
      </w:r>
      <w:r>
        <w:t xml:space="preserve"> </w:t>
      </w:r>
      <w:r>
        <w:rPr>
          <w:bCs/>
          <w:b/>
        </w:rPr>
        <w:t xml:space="preserve">underestimate</w:t>
      </w:r>
      <w:r>
        <w:t xml:space="preserve"> </w:t>
      </w:r>
      <w:r>
        <w:t xml:space="preserve">the true p-value. A</w:t>
      </w:r>
      <w:r>
        <w:t xml:space="preserve"> </w:t>
      </w:r>
      <m:oMath>
        <m:r>
          <m:t>t</m:t>
        </m:r>
      </m:oMath>
      <w:r>
        <w:t xml:space="preserve">-distribution will also result in a confidence interval that is</w:t>
      </w:r>
      <w:r>
        <w:t xml:space="preserve"> </w:t>
      </w:r>
      <w:r>
        <w:rPr>
          <w:bCs/>
          <w:b/>
        </w:rPr>
        <w:t xml:space="preserve">too narrow</w:t>
      </w:r>
      <w: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1"/>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6A: Cholesterol II</dc:title>
  <dc:creator/>
  <cp:keywords/>
  <dcterms:created xsi:type="dcterms:W3CDTF">2022-10-21T14:49:56Z</dcterms:created>
  <dcterms:modified xsi:type="dcterms:W3CDTF">2022-10-21T14:49:56Z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Confidence Intervals for Two Independent Means</vt:lpwstr>
  </property>
  <property fmtid="{D5CDD505-2E9C-101B-9397-08002B2CF9AE}" pid="8" name="toc-title">
    <vt:lpwstr>Table of contents</vt:lpwstr>
  </property>
</Properties>
</file>