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1DC" w:rsidRPr="00753D0C" w:rsidRDefault="00503728" w:rsidP="00FC284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RBWRP- </w:t>
      </w:r>
      <w:r w:rsidR="003D71DC" w:rsidRPr="00753D0C">
        <w:rPr>
          <w:rFonts w:ascii="Times New Roman" w:hAnsi="Times New Roman" w:cs="Times New Roman"/>
          <w:b/>
          <w:sz w:val="20"/>
          <w:szCs w:val="20"/>
        </w:rPr>
        <w:t>Selection Criteria for Watersheds</w:t>
      </w:r>
    </w:p>
    <w:p w:rsidR="003D71DC" w:rsidRPr="00753D0C" w:rsidRDefault="00503728" w:rsidP="003D71DC">
      <w:pPr>
        <w:rPr>
          <w:rFonts w:ascii="Times New Roman" w:hAnsi="Times New Roman" w:cs="Times New Roman"/>
          <w:sz w:val="20"/>
          <w:szCs w:val="20"/>
        </w:rPr>
      </w:pPr>
      <w:r w:rsidRPr="00503728">
        <w:rPr>
          <w:rFonts w:ascii="Times New Roman" w:hAnsi="Times New Roman" w:cs="Times New Roman"/>
          <w:sz w:val="20"/>
          <w:szCs w:val="20"/>
        </w:rPr>
        <w:t xml:space="preserve">For selection of watersheds a basin level River Basin Technical Working Groups have already been proposed. </w:t>
      </w:r>
      <w:r w:rsidR="003D71DC" w:rsidRPr="00503728">
        <w:rPr>
          <w:rFonts w:ascii="Times New Roman" w:hAnsi="Times New Roman" w:cs="Times New Roman"/>
          <w:sz w:val="20"/>
          <w:szCs w:val="20"/>
        </w:rPr>
        <w:t>Approximately 8 watersheds in each basin will be finally selected based on a multicriteria decision analysis including</w:t>
      </w:r>
      <w:r w:rsidRPr="00503728">
        <w:rPr>
          <w:rFonts w:ascii="Times New Roman" w:hAnsi="Times New Roman" w:cs="Times New Roman"/>
          <w:sz w:val="20"/>
          <w:szCs w:val="20"/>
        </w:rPr>
        <w:t xml:space="preserve"> step 1.</w:t>
      </w:r>
      <w:r w:rsidR="003D71DC" w:rsidRPr="00503728">
        <w:rPr>
          <w:rFonts w:ascii="Times New Roman" w:hAnsi="Times New Roman" w:cs="Times New Roman"/>
          <w:sz w:val="20"/>
          <w:szCs w:val="20"/>
        </w:rPr>
        <w:t xml:space="preserve"> </w:t>
      </w:r>
      <w:r w:rsidR="003B0CFE" w:rsidRPr="00503728">
        <w:rPr>
          <w:rFonts w:ascii="Times New Roman" w:hAnsi="Times New Roman" w:cs="Times New Roman"/>
          <w:sz w:val="20"/>
          <w:szCs w:val="20"/>
        </w:rPr>
        <w:t>Desk</w:t>
      </w:r>
      <w:r w:rsidR="003D71DC" w:rsidRPr="00503728">
        <w:rPr>
          <w:rFonts w:ascii="Times New Roman" w:hAnsi="Times New Roman" w:cs="Times New Roman"/>
          <w:sz w:val="20"/>
          <w:szCs w:val="20"/>
        </w:rPr>
        <w:t xml:space="preserve"> review and </w:t>
      </w:r>
      <w:r w:rsidRPr="00503728">
        <w:rPr>
          <w:rFonts w:ascii="Times New Roman" w:hAnsi="Times New Roman" w:cs="Times New Roman"/>
          <w:sz w:val="20"/>
          <w:szCs w:val="20"/>
        </w:rPr>
        <w:t xml:space="preserve">step 2. </w:t>
      </w:r>
      <w:r w:rsidR="003B0CFE" w:rsidRPr="00503728">
        <w:rPr>
          <w:rFonts w:ascii="Times New Roman" w:hAnsi="Times New Roman" w:cs="Times New Roman"/>
          <w:sz w:val="20"/>
          <w:szCs w:val="20"/>
        </w:rPr>
        <w:t>Rapid</w:t>
      </w:r>
      <w:r w:rsidR="003D71DC" w:rsidRPr="00503728">
        <w:rPr>
          <w:rFonts w:ascii="Times New Roman" w:hAnsi="Times New Roman" w:cs="Times New Roman"/>
          <w:sz w:val="20"/>
          <w:szCs w:val="20"/>
        </w:rPr>
        <w:t xml:space="preserve"> assessment in the watersheds to assess suitability. The selection of watersheds </w:t>
      </w:r>
      <w:r w:rsidR="003B0CFE">
        <w:rPr>
          <w:rFonts w:ascii="Times New Roman" w:hAnsi="Times New Roman" w:cs="Times New Roman"/>
          <w:sz w:val="20"/>
          <w:szCs w:val="20"/>
        </w:rPr>
        <w:t xml:space="preserve">process </w:t>
      </w:r>
      <w:r w:rsidR="003D71DC" w:rsidRPr="00503728">
        <w:rPr>
          <w:rFonts w:ascii="Times New Roman" w:hAnsi="Times New Roman" w:cs="Times New Roman"/>
          <w:sz w:val="20"/>
          <w:szCs w:val="20"/>
        </w:rPr>
        <w:t xml:space="preserve">initially </w:t>
      </w:r>
      <w:r w:rsidR="003B0CFE">
        <w:rPr>
          <w:rFonts w:ascii="Times New Roman" w:hAnsi="Times New Roman" w:cs="Times New Roman"/>
          <w:sz w:val="20"/>
          <w:szCs w:val="20"/>
        </w:rPr>
        <w:t xml:space="preserve">begins </w:t>
      </w:r>
      <w:r w:rsidR="003D71DC" w:rsidRPr="00503728">
        <w:rPr>
          <w:rFonts w:ascii="Times New Roman" w:hAnsi="Times New Roman" w:cs="Times New Roman"/>
          <w:sz w:val="20"/>
          <w:szCs w:val="20"/>
        </w:rPr>
        <w:t xml:space="preserve">in 2 rivers basins </w:t>
      </w:r>
      <w:r w:rsidR="003D71DC" w:rsidRPr="00503728">
        <w:rPr>
          <w:rFonts w:ascii="Times New Roman" w:hAnsi="Times New Roman" w:cs="Times New Roman"/>
          <w:i/>
          <w:sz w:val="20"/>
          <w:szCs w:val="20"/>
        </w:rPr>
        <w:t>Pishin and Nari</w:t>
      </w:r>
      <w:r w:rsidR="003B0CFE">
        <w:rPr>
          <w:rFonts w:ascii="Times New Roman" w:hAnsi="Times New Roman" w:cs="Times New Roman"/>
          <w:i/>
          <w:sz w:val="20"/>
          <w:szCs w:val="20"/>
        </w:rPr>
        <w:t xml:space="preserve">. Selection of watersheds will </w:t>
      </w:r>
      <w:r w:rsidR="003D71DC" w:rsidRPr="00503728">
        <w:rPr>
          <w:rFonts w:ascii="Times New Roman" w:hAnsi="Times New Roman" w:cs="Times New Roman"/>
          <w:sz w:val="20"/>
          <w:szCs w:val="20"/>
        </w:rPr>
        <w:t>be tasked through the RB-TWG, in September, 2022</w:t>
      </w:r>
      <w:r w:rsidR="003D71DC" w:rsidRPr="00753D0C">
        <w:rPr>
          <w:rFonts w:ascii="Times New Roman" w:hAnsi="Times New Roman" w:cs="Times New Roman"/>
          <w:sz w:val="20"/>
          <w:szCs w:val="20"/>
        </w:rPr>
        <w:t>.</w:t>
      </w:r>
    </w:p>
    <w:p w:rsidR="003D71DC" w:rsidRPr="00753D0C" w:rsidRDefault="003D71DC" w:rsidP="003D71D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make a reference in </w:t>
      </w:r>
      <w:r w:rsidRPr="00753D0C">
        <w:rPr>
          <w:rFonts w:ascii="Times New Roman" w:hAnsi="Times New Roman" w:cs="Times New Roman"/>
          <w:sz w:val="20"/>
          <w:szCs w:val="20"/>
        </w:rPr>
        <w:t xml:space="preserve">June 2022 the selection process of the following 4 river basins </w:t>
      </w:r>
      <w:r>
        <w:rPr>
          <w:rFonts w:ascii="Times New Roman" w:hAnsi="Times New Roman" w:cs="Times New Roman"/>
          <w:sz w:val="20"/>
          <w:szCs w:val="20"/>
        </w:rPr>
        <w:t>have been completed through an established Multicriteria Decision Analysis</w:t>
      </w:r>
      <w:r w:rsidR="0065331A">
        <w:rPr>
          <w:rFonts w:ascii="Times New Roman" w:hAnsi="Times New Roman" w:cs="Times New Roman"/>
          <w:sz w:val="20"/>
          <w:szCs w:val="20"/>
        </w:rPr>
        <w:t xml:space="preserve"> (MCDA)</w:t>
      </w:r>
      <w:r w:rsidR="003B0CFE">
        <w:rPr>
          <w:rFonts w:ascii="Times New Roman" w:hAnsi="Times New Roman" w:cs="Times New Roman"/>
          <w:sz w:val="20"/>
          <w:szCs w:val="20"/>
        </w:rPr>
        <w:t xml:space="preserve">. The selected, yet to be notified, </w:t>
      </w:r>
      <w:r>
        <w:rPr>
          <w:rFonts w:ascii="Times New Roman" w:hAnsi="Times New Roman" w:cs="Times New Roman"/>
          <w:sz w:val="20"/>
          <w:szCs w:val="20"/>
        </w:rPr>
        <w:t>river basins include;</w:t>
      </w:r>
    </w:p>
    <w:p w:rsidR="003D71DC" w:rsidRPr="00753D0C" w:rsidRDefault="003D71DC" w:rsidP="003D71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53D0C">
        <w:rPr>
          <w:rFonts w:ascii="Times New Roman" w:hAnsi="Times New Roman" w:cs="Times New Roman"/>
          <w:sz w:val="20"/>
          <w:szCs w:val="20"/>
        </w:rPr>
        <w:t>Pishin Lora Basin</w:t>
      </w:r>
    </w:p>
    <w:p w:rsidR="003D71DC" w:rsidRPr="00753D0C" w:rsidRDefault="003D71DC" w:rsidP="003D71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53D0C">
        <w:rPr>
          <w:rFonts w:ascii="Times New Roman" w:hAnsi="Times New Roman" w:cs="Times New Roman"/>
          <w:sz w:val="20"/>
          <w:szCs w:val="20"/>
        </w:rPr>
        <w:t>Nari River Basin</w:t>
      </w:r>
    </w:p>
    <w:p w:rsidR="003D71DC" w:rsidRPr="00753D0C" w:rsidRDefault="003D71DC" w:rsidP="003D71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53D0C">
        <w:rPr>
          <w:rFonts w:ascii="Times New Roman" w:hAnsi="Times New Roman" w:cs="Times New Roman"/>
          <w:sz w:val="20"/>
          <w:szCs w:val="20"/>
        </w:rPr>
        <w:t>Hamun e Maskel</w:t>
      </w:r>
    </w:p>
    <w:p w:rsidR="003D71DC" w:rsidRPr="00753D0C" w:rsidRDefault="003D71DC" w:rsidP="003D71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53D0C">
        <w:rPr>
          <w:rFonts w:ascii="Times New Roman" w:hAnsi="Times New Roman" w:cs="Times New Roman"/>
          <w:sz w:val="20"/>
          <w:szCs w:val="20"/>
        </w:rPr>
        <w:t xml:space="preserve">Hingol River Basin </w:t>
      </w:r>
    </w:p>
    <w:p w:rsidR="003D71DC" w:rsidRPr="00321F28" w:rsidRDefault="003D71DC" w:rsidP="003D71DC">
      <w:pPr>
        <w:rPr>
          <w:rFonts w:ascii="Times New Roman" w:hAnsi="Times New Roman" w:cs="Times New Roman"/>
          <w:sz w:val="20"/>
          <w:szCs w:val="20"/>
        </w:rPr>
      </w:pPr>
      <w:r w:rsidRPr="00321F28">
        <w:rPr>
          <w:rFonts w:ascii="Times New Roman" w:hAnsi="Times New Roman" w:cs="Times New Roman"/>
          <w:sz w:val="20"/>
          <w:szCs w:val="20"/>
        </w:rPr>
        <w:t xml:space="preserve">Selection Criteria </w:t>
      </w:r>
      <w:r w:rsidR="00503728">
        <w:rPr>
          <w:rFonts w:ascii="Times New Roman" w:hAnsi="Times New Roman" w:cs="Times New Roman"/>
          <w:sz w:val="20"/>
          <w:szCs w:val="20"/>
        </w:rPr>
        <w:t xml:space="preserve">of each watershed </w:t>
      </w:r>
      <w:r w:rsidRPr="00321F28">
        <w:rPr>
          <w:rFonts w:ascii="Times New Roman" w:hAnsi="Times New Roman" w:cs="Times New Roman"/>
          <w:sz w:val="20"/>
          <w:szCs w:val="20"/>
        </w:rPr>
        <w:t xml:space="preserve">will include </w:t>
      </w:r>
      <w:r w:rsidR="003B0CFE">
        <w:rPr>
          <w:rFonts w:ascii="Times New Roman" w:hAnsi="Times New Roman" w:cs="Times New Roman"/>
          <w:sz w:val="20"/>
          <w:szCs w:val="20"/>
        </w:rPr>
        <w:t>a two steps approach.</w:t>
      </w:r>
    </w:p>
    <w:p w:rsidR="00A360F2" w:rsidRPr="0065331A" w:rsidRDefault="003D71DC" w:rsidP="0065331A">
      <w:pPr>
        <w:rPr>
          <w:rFonts w:ascii="Times New Roman" w:hAnsi="Times New Roman" w:cs="Times New Roman"/>
          <w:b/>
          <w:sz w:val="20"/>
          <w:szCs w:val="20"/>
        </w:rPr>
      </w:pPr>
      <w:r w:rsidRPr="0065331A">
        <w:rPr>
          <w:rFonts w:ascii="Times New Roman" w:hAnsi="Times New Roman" w:cs="Times New Roman"/>
          <w:b/>
          <w:sz w:val="20"/>
          <w:szCs w:val="20"/>
        </w:rPr>
        <w:t>Step 1 Desk review</w:t>
      </w:r>
      <w:r w:rsidR="0065331A">
        <w:rPr>
          <w:rFonts w:ascii="Times New Roman" w:hAnsi="Times New Roman" w:cs="Times New Roman"/>
          <w:b/>
          <w:sz w:val="20"/>
          <w:szCs w:val="20"/>
        </w:rPr>
        <w:t xml:space="preserve"> of GIS MCDA</w:t>
      </w:r>
      <w:r w:rsidRPr="0065331A">
        <w:rPr>
          <w:rFonts w:ascii="Times New Roman" w:hAnsi="Times New Roman" w:cs="Times New Roman"/>
          <w:b/>
          <w:sz w:val="20"/>
          <w:szCs w:val="20"/>
        </w:rPr>
        <w:t xml:space="preserve"> by</w:t>
      </w:r>
      <w:r w:rsidR="00503728" w:rsidRPr="0065331A">
        <w:rPr>
          <w:rFonts w:ascii="Times New Roman" w:hAnsi="Times New Roman" w:cs="Times New Roman"/>
          <w:b/>
          <w:sz w:val="20"/>
          <w:szCs w:val="20"/>
        </w:rPr>
        <w:t xml:space="preserve"> the </w:t>
      </w:r>
      <w:r w:rsidR="00A360F2" w:rsidRPr="0065331A">
        <w:rPr>
          <w:rFonts w:ascii="Times New Roman" w:hAnsi="Times New Roman" w:cs="Times New Roman"/>
          <w:b/>
          <w:sz w:val="20"/>
          <w:szCs w:val="20"/>
        </w:rPr>
        <w:t>River Basin T</w:t>
      </w:r>
      <w:r w:rsidR="00503728" w:rsidRPr="0065331A">
        <w:rPr>
          <w:rFonts w:ascii="Times New Roman" w:hAnsi="Times New Roman" w:cs="Times New Roman"/>
          <w:b/>
          <w:sz w:val="20"/>
          <w:szCs w:val="20"/>
        </w:rPr>
        <w:t>echnical Working Group RB-TWG</w:t>
      </w:r>
      <w:r w:rsidRPr="0065331A">
        <w:rPr>
          <w:rFonts w:ascii="Times New Roman" w:hAnsi="Times New Roman" w:cs="Times New Roman"/>
          <w:b/>
          <w:sz w:val="20"/>
          <w:szCs w:val="20"/>
        </w:rPr>
        <w:t xml:space="preserve">. </w:t>
      </w:r>
    </w:p>
    <w:p w:rsidR="003D71DC" w:rsidRPr="00A360F2" w:rsidRDefault="003D71DC" w:rsidP="00A360F2">
      <w:pPr>
        <w:rPr>
          <w:rFonts w:ascii="Times New Roman" w:hAnsi="Times New Roman" w:cs="Times New Roman"/>
          <w:sz w:val="20"/>
          <w:szCs w:val="20"/>
        </w:rPr>
      </w:pPr>
      <w:r w:rsidRPr="00A360F2">
        <w:rPr>
          <w:rFonts w:ascii="Times New Roman" w:hAnsi="Times New Roman" w:cs="Times New Roman"/>
          <w:sz w:val="20"/>
          <w:szCs w:val="20"/>
        </w:rPr>
        <w:t xml:space="preserve">This will be based on information extracted from </w:t>
      </w:r>
      <w:r w:rsidR="00A360F2">
        <w:rPr>
          <w:rFonts w:ascii="Times New Roman" w:hAnsi="Times New Roman" w:cs="Times New Roman"/>
          <w:sz w:val="20"/>
          <w:szCs w:val="20"/>
        </w:rPr>
        <w:t xml:space="preserve">ranking of watersheds </w:t>
      </w:r>
      <w:r w:rsidRPr="00A360F2">
        <w:rPr>
          <w:rFonts w:ascii="Times New Roman" w:hAnsi="Times New Roman" w:cs="Times New Roman"/>
          <w:sz w:val="20"/>
          <w:szCs w:val="20"/>
        </w:rPr>
        <w:t xml:space="preserve">derived through </w:t>
      </w:r>
      <w:r w:rsidR="00A360F2">
        <w:rPr>
          <w:rFonts w:ascii="Times New Roman" w:hAnsi="Times New Roman" w:cs="Times New Roman"/>
          <w:sz w:val="20"/>
          <w:szCs w:val="20"/>
        </w:rPr>
        <w:t>GIS based Multicriteria analysis for prequalification of high candidate watersheds</w:t>
      </w:r>
      <w:r w:rsidR="003B0CFE">
        <w:rPr>
          <w:rFonts w:ascii="Times New Roman" w:hAnsi="Times New Roman" w:cs="Times New Roman"/>
          <w:sz w:val="20"/>
          <w:szCs w:val="20"/>
        </w:rPr>
        <w:t xml:space="preserve"> where field assessment can proceeds. T</w:t>
      </w:r>
      <w:r w:rsidR="00FC2849">
        <w:rPr>
          <w:rFonts w:ascii="Times New Roman" w:hAnsi="Times New Roman" w:cs="Times New Roman"/>
          <w:sz w:val="20"/>
          <w:szCs w:val="20"/>
        </w:rPr>
        <w:t xml:space="preserve">he results of GIS </w:t>
      </w:r>
      <w:r w:rsidR="003B0CFE">
        <w:rPr>
          <w:rFonts w:ascii="Times New Roman" w:hAnsi="Times New Roman" w:cs="Times New Roman"/>
          <w:sz w:val="20"/>
          <w:szCs w:val="20"/>
        </w:rPr>
        <w:t xml:space="preserve">based </w:t>
      </w:r>
      <w:r w:rsidR="00FC2849">
        <w:rPr>
          <w:rFonts w:ascii="Times New Roman" w:hAnsi="Times New Roman" w:cs="Times New Roman"/>
          <w:sz w:val="20"/>
          <w:szCs w:val="20"/>
        </w:rPr>
        <w:t xml:space="preserve">MCDA </w:t>
      </w:r>
      <w:r w:rsidR="003B0CFE">
        <w:rPr>
          <w:rFonts w:ascii="Times New Roman" w:hAnsi="Times New Roman" w:cs="Times New Roman"/>
          <w:sz w:val="20"/>
          <w:szCs w:val="20"/>
        </w:rPr>
        <w:t xml:space="preserve">for watersheds </w:t>
      </w:r>
      <w:r w:rsidR="00FC2849">
        <w:rPr>
          <w:rFonts w:ascii="Times New Roman" w:hAnsi="Times New Roman" w:cs="Times New Roman"/>
          <w:sz w:val="20"/>
          <w:szCs w:val="20"/>
        </w:rPr>
        <w:t xml:space="preserve">will be presented to the River Basin Technical Working Group for building </w:t>
      </w:r>
      <w:r w:rsidR="003B0CFE">
        <w:rPr>
          <w:rFonts w:ascii="Times New Roman" w:hAnsi="Times New Roman" w:cs="Times New Roman"/>
          <w:sz w:val="20"/>
          <w:szCs w:val="20"/>
        </w:rPr>
        <w:t xml:space="preserve">for feedback and developing </w:t>
      </w:r>
      <w:r w:rsidR="00FC2849">
        <w:rPr>
          <w:rFonts w:ascii="Times New Roman" w:hAnsi="Times New Roman" w:cs="Times New Roman"/>
          <w:sz w:val="20"/>
          <w:szCs w:val="20"/>
        </w:rPr>
        <w:t>consensus</w:t>
      </w:r>
      <w:r w:rsidR="00A360F2">
        <w:rPr>
          <w:rFonts w:ascii="Times New Roman" w:hAnsi="Times New Roman" w:cs="Times New Roman"/>
          <w:sz w:val="20"/>
          <w:szCs w:val="20"/>
        </w:rPr>
        <w:t xml:space="preserve">. The GIS based MCDA </w:t>
      </w:r>
      <w:r w:rsidR="00CF62DC">
        <w:rPr>
          <w:rFonts w:ascii="Times New Roman" w:hAnsi="Times New Roman" w:cs="Times New Roman"/>
          <w:sz w:val="20"/>
          <w:szCs w:val="20"/>
        </w:rPr>
        <w:t xml:space="preserve">considers </w:t>
      </w:r>
      <w:r w:rsidRPr="00CF62DC">
        <w:rPr>
          <w:rFonts w:ascii="Times New Roman" w:hAnsi="Times New Roman" w:cs="Times New Roman"/>
          <w:b/>
          <w:sz w:val="20"/>
          <w:szCs w:val="20"/>
        </w:rPr>
        <w:t>Relevance</w:t>
      </w:r>
      <w:r w:rsidRPr="00A360F2">
        <w:rPr>
          <w:rFonts w:ascii="Times New Roman" w:hAnsi="Times New Roman" w:cs="Times New Roman"/>
          <w:sz w:val="20"/>
          <w:szCs w:val="20"/>
        </w:rPr>
        <w:t xml:space="preserve"> to the RBWRP defined </w:t>
      </w:r>
      <w:r w:rsidR="0065331A">
        <w:rPr>
          <w:rFonts w:ascii="Times New Roman" w:hAnsi="Times New Roman" w:cs="Times New Roman"/>
          <w:sz w:val="20"/>
          <w:szCs w:val="20"/>
        </w:rPr>
        <w:t xml:space="preserve">Result Areas </w:t>
      </w:r>
      <w:r w:rsidR="003B0CFE">
        <w:rPr>
          <w:rFonts w:ascii="Times New Roman" w:hAnsi="Times New Roman" w:cs="Times New Roman"/>
          <w:sz w:val="20"/>
          <w:szCs w:val="20"/>
        </w:rPr>
        <w:t xml:space="preserve">as principal criterion </w:t>
      </w:r>
      <w:r w:rsidRPr="00A360F2">
        <w:rPr>
          <w:rFonts w:ascii="Times New Roman" w:hAnsi="Times New Roman" w:cs="Times New Roman"/>
          <w:sz w:val="20"/>
          <w:szCs w:val="20"/>
        </w:rPr>
        <w:t>summarized in the table below</w:t>
      </w:r>
      <w:r w:rsidR="003B0CFE">
        <w:rPr>
          <w:rFonts w:ascii="Times New Roman" w:hAnsi="Times New Roman" w:cs="Times New Roman"/>
          <w:sz w:val="20"/>
          <w:szCs w:val="20"/>
        </w:rPr>
        <w:t>.</w:t>
      </w:r>
    </w:p>
    <w:p w:rsidR="00A360F2" w:rsidRPr="00CF62DC" w:rsidRDefault="00A360F2" w:rsidP="00A360F2">
      <w:pPr>
        <w:rPr>
          <w:rFonts w:ascii="Times New Roman" w:hAnsi="Times New Roman" w:cs="Times New Roman"/>
          <w:b/>
        </w:rPr>
      </w:pPr>
      <w:r w:rsidRPr="00CF62DC">
        <w:rPr>
          <w:rFonts w:ascii="Times New Roman" w:hAnsi="Times New Roman" w:cs="Times New Roman"/>
          <w:b/>
        </w:rPr>
        <w:t>Inclusion Criteria for high candidate watersheds</w:t>
      </w:r>
      <w:r w:rsidR="00FC2849">
        <w:rPr>
          <w:rFonts w:ascii="Times New Roman" w:hAnsi="Times New Roman" w:cs="Times New Roman"/>
          <w:b/>
        </w:rPr>
        <w:t xml:space="preserve"> using GIS F</w:t>
      </w:r>
      <w:r w:rsidR="00CF62DC">
        <w:rPr>
          <w:rFonts w:ascii="Times New Roman" w:hAnsi="Times New Roman" w:cs="Times New Roman"/>
          <w:b/>
        </w:rPr>
        <w:t>ramework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3235"/>
        <w:gridCol w:w="3690"/>
        <w:gridCol w:w="1297"/>
        <w:gridCol w:w="1853"/>
      </w:tblGrid>
      <w:tr w:rsidR="0065331A" w:rsidRPr="0065331A" w:rsidTr="0060393D">
        <w:tc>
          <w:tcPr>
            <w:tcW w:w="3235" w:type="dxa"/>
            <w:tcBorders>
              <w:bottom w:val="single" w:sz="4" w:space="0" w:color="auto"/>
            </w:tcBorders>
            <w:vAlign w:val="center"/>
          </w:tcPr>
          <w:p w:rsidR="0065331A" w:rsidRPr="0065331A" w:rsidRDefault="0065331A" w:rsidP="006A65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:rsidR="0065331A" w:rsidRPr="0065331A" w:rsidRDefault="0065331A" w:rsidP="006A65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>INDICATOR</w:t>
            </w:r>
          </w:p>
          <w:p w:rsidR="0065331A" w:rsidRPr="0065331A" w:rsidRDefault="0065331A" w:rsidP="006A65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>(watershed level)</w:t>
            </w:r>
          </w:p>
        </w:tc>
        <w:tc>
          <w:tcPr>
            <w:tcW w:w="1297" w:type="dxa"/>
            <w:tcBorders>
              <w:bottom w:val="single" w:sz="4" w:space="0" w:color="auto"/>
            </w:tcBorders>
          </w:tcPr>
          <w:p w:rsidR="0065331A" w:rsidRPr="0065331A" w:rsidRDefault="0065331A" w:rsidP="006A65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>WEIGHTAGE/INFLUENCE</w:t>
            </w:r>
          </w:p>
        </w:tc>
        <w:tc>
          <w:tcPr>
            <w:tcW w:w="1853" w:type="dxa"/>
            <w:vAlign w:val="center"/>
          </w:tcPr>
          <w:p w:rsidR="0065331A" w:rsidRPr="0065331A" w:rsidRDefault="0065331A" w:rsidP="006A65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>Final Selection of Watersheds</w:t>
            </w:r>
          </w:p>
        </w:tc>
      </w:tr>
      <w:tr w:rsidR="0065331A" w:rsidRPr="0065331A" w:rsidTr="0060393D">
        <w:tc>
          <w:tcPr>
            <w:tcW w:w="3235" w:type="dxa"/>
            <w:vMerge w:val="restart"/>
            <w:shd w:val="clear" w:color="auto" w:fill="F4B083" w:themeFill="accent2" w:themeFillTint="99"/>
          </w:tcPr>
          <w:p w:rsidR="0065331A" w:rsidRPr="0065331A" w:rsidRDefault="0065331A" w:rsidP="0065331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>Potential for Ground Water Recharge</w:t>
            </w:r>
          </w:p>
        </w:tc>
        <w:tc>
          <w:tcPr>
            <w:tcW w:w="3690" w:type="dxa"/>
            <w:shd w:val="clear" w:color="auto" w:fill="F4B083" w:themeFill="accent2" w:themeFillTint="99"/>
          </w:tcPr>
          <w:p w:rsidR="0065331A" w:rsidRPr="0065331A" w:rsidRDefault="008462E3" w:rsidP="0065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Average annual </w:t>
            </w:r>
            <w:r w:rsidR="0060393D">
              <w:rPr>
                <w:rFonts w:ascii="Times New Roman" w:hAnsi="Times New Roman" w:cs="Times New Roman"/>
                <w:sz w:val="20"/>
                <w:szCs w:val="20"/>
              </w:rPr>
              <w:t xml:space="preserve">Rainfall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0393D">
              <w:rPr>
                <w:rFonts w:ascii="Times New Roman" w:hAnsi="Times New Roman" w:cs="Times New Roman"/>
                <w:sz w:val="20"/>
                <w:szCs w:val="20"/>
              </w:rPr>
              <w:t>as an indicator of Water availability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97" w:type="dxa"/>
            <w:shd w:val="clear" w:color="auto" w:fill="F4B083" w:themeFill="accent2" w:themeFillTint="99"/>
          </w:tcPr>
          <w:p w:rsidR="0065331A" w:rsidRPr="0065331A" w:rsidRDefault="0060393D" w:rsidP="0065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60%</w:t>
            </w:r>
          </w:p>
        </w:tc>
        <w:tc>
          <w:tcPr>
            <w:tcW w:w="1853" w:type="dxa"/>
            <w:vMerge w:val="restart"/>
          </w:tcPr>
          <w:p w:rsidR="0065331A" w:rsidRPr="0065331A" w:rsidRDefault="0065331A" w:rsidP="006533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331A" w:rsidRPr="0065331A" w:rsidRDefault="0065331A" w:rsidP="006533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331A" w:rsidRPr="0065331A" w:rsidRDefault="0065331A" w:rsidP="006533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331A" w:rsidRDefault="0065331A" w:rsidP="006533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331A" w:rsidRDefault="0065331A" w:rsidP="006533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331A" w:rsidRDefault="0065331A" w:rsidP="006533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331A" w:rsidRDefault="0065331A" w:rsidP="006533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331A" w:rsidRDefault="0065331A" w:rsidP="006533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331A" w:rsidRDefault="0065331A" w:rsidP="006533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331A" w:rsidRDefault="0065331A" w:rsidP="006533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331A" w:rsidRPr="0065331A" w:rsidRDefault="0065331A" w:rsidP="0065331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>75% weightage</w:t>
            </w:r>
          </w:p>
        </w:tc>
      </w:tr>
      <w:tr w:rsidR="0060393D" w:rsidRPr="0065331A" w:rsidTr="0060393D">
        <w:tc>
          <w:tcPr>
            <w:tcW w:w="3235" w:type="dxa"/>
            <w:vMerge/>
            <w:shd w:val="clear" w:color="auto" w:fill="F4B083" w:themeFill="accent2" w:themeFillTint="99"/>
          </w:tcPr>
          <w:p w:rsidR="0060393D" w:rsidRPr="0065331A" w:rsidRDefault="0060393D" w:rsidP="0060393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4B083" w:themeFill="accent2" w:themeFillTint="99"/>
          </w:tcPr>
          <w:p w:rsidR="0060393D" w:rsidRPr="0065331A" w:rsidRDefault="0060393D" w:rsidP="008462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sz w:val="20"/>
                <w:szCs w:val="20"/>
              </w:rPr>
              <w:t xml:space="preserve">Area under </w:t>
            </w:r>
            <w:r w:rsidR="008462E3">
              <w:rPr>
                <w:rFonts w:ascii="Times New Roman" w:hAnsi="Times New Roman" w:cs="Times New Roman"/>
                <w:sz w:val="20"/>
                <w:szCs w:val="20"/>
              </w:rPr>
              <w:t xml:space="preserve">Rangelands </w:t>
            </w:r>
            <w:r w:rsidR="008462E3" w:rsidRPr="0065331A">
              <w:rPr>
                <w:rFonts w:ascii="Times New Roman" w:hAnsi="Times New Roman" w:cs="Times New Roman"/>
                <w:sz w:val="20"/>
                <w:szCs w:val="20"/>
              </w:rPr>
              <w:t>(sq.km)</w:t>
            </w:r>
          </w:p>
        </w:tc>
        <w:tc>
          <w:tcPr>
            <w:tcW w:w="1297" w:type="dxa"/>
            <w:shd w:val="clear" w:color="auto" w:fill="F4B083" w:themeFill="accent2" w:themeFillTint="99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5331A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1853" w:type="dxa"/>
            <w:vMerge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393D" w:rsidRPr="0065331A" w:rsidTr="0060393D">
        <w:trPr>
          <w:trHeight w:val="224"/>
        </w:trPr>
        <w:tc>
          <w:tcPr>
            <w:tcW w:w="3235" w:type="dxa"/>
            <w:vMerge/>
            <w:shd w:val="clear" w:color="auto" w:fill="F4B083" w:themeFill="accent2" w:themeFillTint="99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4B083" w:themeFill="accent2" w:themeFillTint="99"/>
          </w:tcPr>
          <w:p w:rsidR="0060393D" w:rsidRPr="0065331A" w:rsidRDefault="0060393D" w:rsidP="008462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sz w:val="20"/>
                <w:szCs w:val="20"/>
              </w:rPr>
              <w:t xml:space="preserve">Area under </w:t>
            </w:r>
            <w:r w:rsidR="008462E3" w:rsidRPr="0065331A">
              <w:rPr>
                <w:rFonts w:ascii="Times New Roman" w:hAnsi="Times New Roman" w:cs="Times New Roman"/>
                <w:sz w:val="20"/>
                <w:szCs w:val="20"/>
              </w:rPr>
              <w:t>Wetlands (sq.km)</w:t>
            </w:r>
          </w:p>
        </w:tc>
        <w:tc>
          <w:tcPr>
            <w:tcW w:w="1297" w:type="dxa"/>
            <w:shd w:val="clear" w:color="auto" w:fill="F4B083" w:themeFill="accent2" w:themeFillTint="99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65331A">
              <w:rPr>
                <w:rFonts w:ascii="Times New Roman" w:hAnsi="Times New Roman" w:cs="Times New Roman"/>
                <w:sz w:val="20"/>
                <w:szCs w:val="20"/>
              </w:rPr>
              <w:t>0%</w:t>
            </w:r>
          </w:p>
        </w:tc>
        <w:tc>
          <w:tcPr>
            <w:tcW w:w="1853" w:type="dxa"/>
            <w:vMerge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393D" w:rsidRPr="0065331A" w:rsidTr="0060393D">
        <w:tc>
          <w:tcPr>
            <w:tcW w:w="3235" w:type="dxa"/>
            <w:vMerge/>
            <w:shd w:val="clear" w:color="auto" w:fill="F4B083" w:themeFill="accent2" w:themeFillTint="99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4B083" w:themeFill="accent2" w:themeFillTint="99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297" w:type="dxa"/>
            <w:shd w:val="clear" w:color="auto" w:fill="F4B083" w:themeFill="accent2" w:themeFillTint="99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>100%</w:t>
            </w:r>
          </w:p>
        </w:tc>
        <w:tc>
          <w:tcPr>
            <w:tcW w:w="1853" w:type="dxa"/>
            <w:vMerge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0393D" w:rsidRPr="0065331A" w:rsidTr="0060393D">
        <w:trPr>
          <w:trHeight w:val="314"/>
        </w:trPr>
        <w:tc>
          <w:tcPr>
            <w:tcW w:w="3235" w:type="dxa"/>
            <w:vMerge w:val="restart"/>
            <w:shd w:val="clear" w:color="auto" w:fill="F4B083" w:themeFill="accent2" w:themeFillTint="99"/>
          </w:tcPr>
          <w:p w:rsidR="0060393D" w:rsidRPr="0065331A" w:rsidRDefault="0060393D" w:rsidP="0060393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>Potential for Surface Water harvesting</w:t>
            </w:r>
          </w:p>
        </w:tc>
        <w:tc>
          <w:tcPr>
            <w:tcW w:w="3690" w:type="dxa"/>
            <w:shd w:val="clear" w:color="auto" w:fill="F4B083" w:themeFill="accent2" w:themeFillTint="99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sz w:val="20"/>
                <w:szCs w:val="20"/>
              </w:rPr>
              <w:t xml:space="preserve">Average annual rainfall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for 20 years </w:t>
            </w:r>
            <w:r w:rsidRPr="0065331A">
              <w:rPr>
                <w:rFonts w:ascii="Times New Roman" w:hAnsi="Times New Roman" w:cs="Times New Roman"/>
                <w:sz w:val="20"/>
                <w:szCs w:val="20"/>
              </w:rPr>
              <w:t>(mm)</w:t>
            </w:r>
          </w:p>
        </w:tc>
        <w:tc>
          <w:tcPr>
            <w:tcW w:w="1297" w:type="dxa"/>
            <w:shd w:val="clear" w:color="auto" w:fill="F4B083" w:themeFill="accent2" w:themeFillTint="99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  <w:r w:rsidRPr="0065331A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53" w:type="dxa"/>
            <w:vMerge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393D" w:rsidRPr="0065331A" w:rsidTr="0060393D">
        <w:tc>
          <w:tcPr>
            <w:tcW w:w="3235" w:type="dxa"/>
            <w:vMerge/>
            <w:shd w:val="clear" w:color="auto" w:fill="F4B083" w:themeFill="accent2" w:themeFillTint="99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4B083" w:themeFill="accent2" w:themeFillTint="99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sz w:val="20"/>
                <w:szCs w:val="20"/>
              </w:rPr>
              <w:t>Run-off potential based on soil texture</w:t>
            </w:r>
          </w:p>
        </w:tc>
        <w:tc>
          <w:tcPr>
            <w:tcW w:w="1297" w:type="dxa"/>
            <w:shd w:val="clear" w:color="auto" w:fill="F4B083" w:themeFill="accent2" w:themeFillTint="99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65331A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1853" w:type="dxa"/>
            <w:vMerge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393D" w:rsidRPr="0065331A" w:rsidTr="0060393D">
        <w:tc>
          <w:tcPr>
            <w:tcW w:w="3235" w:type="dxa"/>
            <w:vMerge/>
            <w:shd w:val="clear" w:color="auto" w:fill="F4B083" w:themeFill="accent2" w:themeFillTint="99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4B083" w:themeFill="accent2" w:themeFillTint="99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sz w:val="20"/>
                <w:szCs w:val="20"/>
              </w:rPr>
              <w:t>Population density</w:t>
            </w:r>
          </w:p>
        </w:tc>
        <w:tc>
          <w:tcPr>
            <w:tcW w:w="1297" w:type="dxa"/>
            <w:shd w:val="clear" w:color="auto" w:fill="F4B083" w:themeFill="accent2" w:themeFillTint="99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</w:tc>
        <w:tc>
          <w:tcPr>
            <w:tcW w:w="1853" w:type="dxa"/>
            <w:vMerge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393D" w:rsidRPr="0065331A" w:rsidTr="0060393D">
        <w:tc>
          <w:tcPr>
            <w:tcW w:w="3235" w:type="dxa"/>
            <w:vMerge/>
            <w:shd w:val="clear" w:color="auto" w:fill="F4B083" w:themeFill="accent2" w:themeFillTint="99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F4B083" w:themeFill="accent2" w:themeFillTint="99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297" w:type="dxa"/>
            <w:shd w:val="clear" w:color="auto" w:fill="F4B083" w:themeFill="accent2" w:themeFillTint="99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>100%</w:t>
            </w:r>
          </w:p>
        </w:tc>
        <w:tc>
          <w:tcPr>
            <w:tcW w:w="1853" w:type="dxa"/>
            <w:vMerge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0393D" w:rsidRPr="0065331A" w:rsidTr="0065331A">
        <w:tc>
          <w:tcPr>
            <w:tcW w:w="3235" w:type="dxa"/>
            <w:vMerge w:val="restart"/>
          </w:tcPr>
          <w:p w:rsidR="0060393D" w:rsidRPr="0065331A" w:rsidRDefault="0060393D" w:rsidP="0060393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>Potential For Livestock Based Interventions</w:t>
            </w:r>
          </w:p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sz w:val="20"/>
                <w:szCs w:val="20"/>
              </w:rPr>
              <w:t>Livestock Density</w:t>
            </w:r>
          </w:p>
        </w:tc>
        <w:tc>
          <w:tcPr>
            <w:tcW w:w="1297" w:type="dxa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sz w:val="20"/>
                <w:szCs w:val="20"/>
              </w:rPr>
              <w:t>40%</w:t>
            </w:r>
          </w:p>
        </w:tc>
        <w:tc>
          <w:tcPr>
            <w:tcW w:w="1853" w:type="dxa"/>
            <w:vMerge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393D" w:rsidRPr="0065331A" w:rsidTr="0065331A">
        <w:tc>
          <w:tcPr>
            <w:tcW w:w="3235" w:type="dxa"/>
            <w:vMerge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sz w:val="20"/>
                <w:szCs w:val="20"/>
              </w:rPr>
              <w:t>Area under rangelands (sq.km)</w:t>
            </w:r>
          </w:p>
        </w:tc>
        <w:tc>
          <w:tcPr>
            <w:tcW w:w="1297" w:type="dxa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sz w:val="20"/>
                <w:szCs w:val="20"/>
              </w:rPr>
              <w:t>60%</w:t>
            </w:r>
          </w:p>
        </w:tc>
        <w:tc>
          <w:tcPr>
            <w:tcW w:w="1853" w:type="dxa"/>
            <w:vMerge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393D" w:rsidRPr="0065331A" w:rsidTr="0065331A">
        <w:tc>
          <w:tcPr>
            <w:tcW w:w="3235" w:type="dxa"/>
            <w:vMerge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297" w:type="dxa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>100%</w:t>
            </w:r>
          </w:p>
        </w:tc>
        <w:tc>
          <w:tcPr>
            <w:tcW w:w="1853" w:type="dxa"/>
            <w:vMerge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0393D" w:rsidRPr="0065331A" w:rsidTr="0065331A">
        <w:tc>
          <w:tcPr>
            <w:tcW w:w="3235" w:type="dxa"/>
          </w:tcPr>
          <w:p w:rsidR="0060393D" w:rsidRPr="0065331A" w:rsidRDefault="0060393D" w:rsidP="0060393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Potential for development of value chains for low water economy </w:t>
            </w:r>
          </w:p>
        </w:tc>
        <w:tc>
          <w:tcPr>
            <w:tcW w:w="3690" w:type="dxa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To be done in Desk review and Rapid Assessment in the Watersheds </w:t>
            </w:r>
          </w:p>
        </w:tc>
        <w:tc>
          <w:tcPr>
            <w:tcW w:w="1297" w:type="dxa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>34%</w:t>
            </w:r>
          </w:p>
        </w:tc>
        <w:tc>
          <w:tcPr>
            <w:tcW w:w="1853" w:type="dxa"/>
            <w:vMerge w:val="restart"/>
          </w:tcPr>
          <w:p w:rsidR="0060393D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0393D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0393D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0393D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0393D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>25% Weightage</w:t>
            </w:r>
          </w:p>
        </w:tc>
      </w:tr>
      <w:tr w:rsidR="0060393D" w:rsidRPr="0065331A" w:rsidTr="0065331A">
        <w:tc>
          <w:tcPr>
            <w:tcW w:w="3235" w:type="dxa"/>
          </w:tcPr>
          <w:p w:rsidR="0060393D" w:rsidRPr="0065331A" w:rsidRDefault="0060393D" w:rsidP="0060393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Potential for command area development </w:t>
            </w:r>
          </w:p>
        </w:tc>
        <w:tc>
          <w:tcPr>
            <w:tcW w:w="3690" w:type="dxa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i/>
                <w:sz w:val="20"/>
                <w:szCs w:val="20"/>
              </w:rPr>
              <w:t>To be done</w:t>
            </w:r>
            <w:bookmarkStart w:id="0" w:name="_GoBack"/>
            <w:bookmarkEnd w:id="0"/>
            <w:r w:rsidRPr="0065331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in Desk review and Rapid Assessment in the Watersheds </w:t>
            </w:r>
          </w:p>
        </w:tc>
        <w:tc>
          <w:tcPr>
            <w:tcW w:w="1297" w:type="dxa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>33</w:t>
            </w:r>
          </w:p>
        </w:tc>
        <w:tc>
          <w:tcPr>
            <w:tcW w:w="1853" w:type="dxa"/>
            <w:vMerge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0393D" w:rsidRPr="0065331A" w:rsidTr="0065331A">
        <w:tc>
          <w:tcPr>
            <w:tcW w:w="3235" w:type="dxa"/>
          </w:tcPr>
          <w:p w:rsidR="0060393D" w:rsidRPr="0065331A" w:rsidRDefault="0060393D" w:rsidP="0060393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Presence of community based Institutions with track record of implementing development projects </w:t>
            </w:r>
          </w:p>
        </w:tc>
        <w:tc>
          <w:tcPr>
            <w:tcW w:w="3690" w:type="dxa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To be done in Desk review and Rapid Assessment in the Watersheds </w:t>
            </w:r>
          </w:p>
        </w:tc>
        <w:tc>
          <w:tcPr>
            <w:tcW w:w="1297" w:type="dxa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>33</w:t>
            </w:r>
          </w:p>
        </w:tc>
        <w:tc>
          <w:tcPr>
            <w:tcW w:w="1853" w:type="dxa"/>
            <w:vMerge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0393D" w:rsidRPr="0065331A" w:rsidTr="0065331A">
        <w:tc>
          <w:tcPr>
            <w:tcW w:w="3235" w:type="dxa"/>
          </w:tcPr>
          <w:p w:rsidR="0060393D" w:rsidRPr="0065331A" w:rsidRDefault="0060393D" w:rsidP="0060393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297" w:type="dxa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31A">
              <w:rPr>
                <w:rFonts w:ascii="Times New Roman" w:hAnsi="Times New Roman" w:cs="Times New Roman"/>
                <w:b/>
                <w:sz w:val="20"/>
                <w:szCs w:val="20"/>
              </w:rPr>
              <w:t>100%</w:t>
            </w:r>
          </w:p>
        </w:tc>
        <w:tc>
          <w:tcPr>
            <w:tcW w:w="1853" w:type="dxa"/>
          </w:tcPr>
          <w:p w:rsidR="0060393D" w:rsidRPr="0065331A" w:rsidRDefault="0060393D" w:rsidP="006039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C92451" w:rsidRDefault="00C92451" w:rsidP="003D71D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:rsidR="00C92451" w:rsidRDefault="00C92451" w:rsidP="003D71D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:rsidR="0065331A" w:rsidRPr="0065331A" w:rsidRDefault="003D71DC" w:rsidP="0065331A">
      <w:pPr>
        <w:rPr>
          <w:rFonts w:ascii="Times New Roman" w:hAnsi="Times New Roman" w:cs="Times New Roman"/>
          <w:b/>
          <w:sz w:val="20"/>
          <w:szCs w:val="20"/>
        </w:rPr>
      </w:pPr>
      <w:r w:rsidRPr="0065331A">
        <w:rPr>
          <w:rFonts w:ascii="Times New Roman" w:hAnsi="Times New Roman" w:cs="Times New Roman"/>
          <w:b/>
          <w:sz w:val="20"/>
          <w:szCs w:val="20"/>
        </w:rPr>
        <w:t xml:space="preserve">Step 2 </w:t>
      </w:r>
      <w:r w:rsidR="0065331A" w:rsidRPr="0065331A">
        <w:rPr>
          <w:rFonts w:ascii="Times New Roman" w:hAnsi="Times New Roman" w:cs="Times New Roman"/>
          <w:b/>
          <w:sz w:val="20"/>
          <w:szCs w:val="20"/>
        </w:rPr>
        <w:t>Field level assessment in the prequalified watersheds</w:t>
      </w:r>
    </w:p>
    <w:p w:rsidR="00CF62DC" w:rsidRPr="0065331A" w:rsidRDefault="0065331A" w:rsidP="006533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Step 2 of the </w:t>
      </w:r>
      <w:r w:rsidR="003D71DC" w:rsidRPr="0065331A">
        <w:rPr>
          <w:rFonts w:ascii="Times New Roman" w:hAnsi="Times New Roman" w:cs="Times New Roman"/>
          <w:sz w:val="20"/>
          <w:szCs w:val="20"/>
        </w:rPr>
        <w:t xml:space="preserve">selection criteria is the Ground truthing by conducting field level assessment in the prequalified watersheds by </w:t>
      </w:r>
      <w:r w:rsidR="000878E6" w:rsidRPr="0065331A">
        <w:rPr>
          <w:rFonts w:ascii="Times New Roman" w:hAnsi="Times New Roman" w:cs="Times New Roman"/>
          <w:sz w:val="20"/>
          <w:szCs w:val="20"/>
        </w:rPr>
        <w:t>RB-</w:t>
      </w:r>
      <w:r w:rsidR="003D71DC" w:rsidRPr="0065331A">
        <w:rPr>
          <w:rFonts w:ascii="Times New Roman" w:hAnsi="Times New Roman" w:cs="Times New Roman"/>
          <w:sz w:val="20"/>
          <w:szCs w:val="20"/>
        </w:rPr>
        <w:t xml:space="preserve">TWG </w:t>
      </w:r>
      <w:r>
        <w:rPr>
          <w:rFonts w:ascii="Times New Roman" w:hAnsi="Times New Roman" w:cs="Times New Roman"/>
          <w:sz w:val="20"/>
          <w:szCs w:val="20"/>
        </w:rPr>
        <w:t xml:space="preserve">consisting of </w:t>
      </w:r>
      <w:r w:rsidR="003D71DC" w:rsidRPr="0065331A">
        <w:rPr>
          <w:rFonts w:ascii="Times New Roman" w:hAnsi="Times New Roman" w:cs="Times New Roman"/>
          <w:sz w:val="20"/>
          <w:szCs w:val="20"/>
        </w:rPr>
        <w:t>NRM experts</w:t>
      </w:r>
      <w:r w:rsidR="000878E6" w:rsidRPr="0065331A">
        <w:rPr>
          <w:rFonts w:ascii="Times New Roman" w:hAnsi="Times New Roman" w:cs="Times New Roman"/>
          <w:sz w:val="20"/>
          <w:szCs w:val="20"/>
        </w:rPr>
        <w:t xml:space="preserve"> (from FAO and Landel Mills) with line department government </w:t>
      </w:r>
      <w:r w:rsidR="003D71DC" w:rsidRPr="0065331A">
        <w:rPr>
          <w:rFonts w:ascii="Times New Roman" w:hAnsi="Times New Roman" w:cs="Times New Roman"/>
          <w:sz w:val="20"/>
          <w:szCs w:val="20"/>
        </w:rPr>
        <w:t xml:space="preserve">field staff. </w:t>
      </w:r>
      <w:r>
        <w:rPr>
          <w:rFonts w:ascii="Times New Roman" w:hAnsi="Times New Roman" w:cs="Times New Roman"/>
          <w:sz w:val="20"/>
          <w:szCs w:val="20"/>
        </w:rPr>
        <w:t>A field assessment methodology will be developed well before the rapid assessment.</w:t>
      </w:r>
    </w:p>
    <w:p w:rsidR="003D71DC" w:rsidRPr="0065331A" w:rsidRDefault="00CF62DC" w:rsidP="0065331A">
      <w:pPr>
        <w:rPr>
          <w:rFonts w:ascii="Times New Roman" w:hAnsi="Times New Roman" w:cs="Times New Roman"/>
          <w:sz w:val="20"/>
          <w:szCs w:val="20"/>
        </w:rPr>
      </w:pPr>
      <w:r w:rsidRPr="0065331A">
        <w:rPr>
          <w:rFonts w:ascii="Times New Roman" w:hAnsi="Times New Roman" w:cs="Times New Roman"/>
          <w:sz w:val="20"/>
          <w:szCs w:val="20"/>
        </w:rPr>
        <w:t xml:space="preserve">Based on above criteria </w:t>
      </w:r>
      <w:r w:rsidR="0065331A">
        <w:rPr>
          <w:rFonts w:ascii="Times New Roman" w:hAnsi="Times New Roman" w:cs="Times New Roman"/>
          <w:sz w:val="20"/>
          <w:szCs w:val="20"/>
        </w:rPr>
        <w:t xml:space="preserve">Step 1 and Step 2 Recommendations for high candidate </w:t>
      </w:r>
      <w:r w:rsidR="003D71DC" w:rsidRPr="0065331A">
        <w:rPr>
          <w:rFonts w:ascii="Times New Roman" w:hAnsi="Times New Roman" w:cs="Times New Roman"/>
          <w:sz w:val="20"/>
          <w:szCs w:val="20"/>
        </w:rPr>
        <w:t>watershed will be</w:t>
      </w:r>
      <w:r w:rsidR="0065331A">
        <w:rPr>
          <w:rFonts w:ascii="Times New Roman" w:hAnsi="Times New Roman" w:cs="Times New Roman"/>
          <w:sz w:val="20"/>
          <w:szCs w:val="20"/>
        </w:rPr>
        <w:t xml:space="preserve"> formulated by the RB-TWG</w:t>
      </w:r>
      <w:r w:rsidR="003D71DC" w:rsidRPr="0065331A">
        <w:rPr>
          <w:rFonts w:ascii="Times New Roman" w:hAnsi="Times New Roman" w:cs="Times New Roman"/>
          <w:sz w:val="20"/>
          <w:szCs w:val="20"/>
        </w:rPr>
        <w:t xml:space="preserve">. Accordingly IWRM plans will be prepared based on the findings </w:t>
      </w:r>
      <w:r w:rsidRPr="0065331A">
        <w:rPr>
          <w:rFonts w:ascii="Times New Roman" w:hAnsi="Times New Roman" w:cs="Times New Roman"/>
          <w:sz w:val="20"/>
          <w:szCs w:val="20"/>
        </w:rPr>
        <w:t xml:space="preserve">of GIS based decision analysis and ground truthing by </w:t>
      </w:r>
      <w:r w:rsidR="003D71DC" w:rsidRPr="0065331A">
        <w:rPr>
          <w:rFonts w:ascii="Times New Roman" w:hAnsi="Times New Roman" w:cs="Times New Roman"/>
          <w:sz w:val="20"/>
          <w:szCs w:val="20"/>
        </w:rPr>
        <w:t>rapid assessment</w:t>
      </w:r>
      <w:r w:rsidRPr="0065331A">
        <w:rPr>
          <w:rFonts w:ascii="Times New Roman" w:hAnsi="Times New Roman" w:cs="Times New Roman"/>
          <w:sz w:val="20"/>
          <w:szCs w:val="20"/>
        </w:rPr>
        <w:t xml:space="preserve"> in the field</w:t>
      </w:r>
      <w:r w:rsidR="003D71DC" w:rsidRPr="0065331A">
        <w:rPr>
          <w:rFonts w:ascii="Times New Roman" w:hAnsi="Times New Roman" w:cs="Times New Roman"/>
          <w:sz w:val="20"/>
          <w:szCs w:val="20"/>
        </w:rPr>
        <w:t>.</w:t>
      </w:r>
    </w:p>
    <w:p w:rsidR="003D71DC" w:rsidRPr="003B0CFE" w:rsidRDefault="003D71DC" w:rsidP="003B0CFE">
      <w:pPr>
        <w:rPr>
          <w:rFonts w:ascii="Times New Roman" w:hAnsi="Times New Roman" w:cs="Times New Roman"/>
          <w:b/>
          <w:sz w:val="20"/>
          <w:szCs w:val="20"/>
        </w:rPr>
      </w:pPr>
      <w:r w:rsidRPr="003B0CFE">
        <w:rPr>
          <w:rFonts w:ascii="Times New Roman" w:hAnsi="Times New Roman" w:cs="Times New Roman"/>
          <w:b/>
          <w:sz w:val="20"/>
          <w:szCs w:val="20"/>
        </w:rPr>
        <w:t xml:space="preserve">Exclusion criteria for </w:t>
      </w:r>
      <w:r w:rsidR="00A360F2" w:rsidRPr="003B0CFE">
        <w:rPr>
          <w:rFonts w:ascii="Times New Roman" w:hAnsi="Times New Roman" w:cs="Times New Roman"/>
          <w:b/>
          <w:sz w:val="20"/>
          <w:szCs w:val="20"/>
        </w:rPr>
        <w:t xml:space="preserve">disqualification of </w:t>
      </w:r>
      <w:r w:rsidRPr="003B0CFE">
        <w:rPr>
          <w:rFonts w:ascii="Times New Roman" w:hAnsi="Times New Roman" w:cs="Times New Roman"/>
          <w:b/>
          <w:sz w:val="20"/>
          <w:szCs w:val="20"/>
        </w:rPr>
        <w:t xml:space="preserve">include one or more of the following: </w:t>
      </w:r>
    </w:p>
    <w:p w:rsidR="003D71DC" w:rsidRPr="00753D0C" w:rsidRDefault="003A6B1C" w:rsidP="003D7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Areas </w:t>
      </w:r>
      <w:r w:rsidR="003B0CFE">
        <w:rPr>
          <w:rFonts w:ascii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hAnsi="Times New Roman" w:cs="Times New Roman"/>
          <w:sz w:val="20"/>
          <w:szCs w:val="20"/>
        </w:rPr>
        <w:t xml:space="preserve">relatively </w:t>
      </w:r>
      <w:r w:rsidR="003B0CFE">
        <w:rPr>
          <w:rFonts w:ascii="Times New Roman" w:hAnsi="Times New Roman" w:cs="Times New Roman"/>
          <w:sz w:val="20"/>
          <w:szCs w:val="20"/>
        </w:rPr>
        <w:t>low productivity potential for livestock and cropping</w:t>
      </w:r>
      <w:r>
        <w:rPr>
          <w:rFonts w:ascii="Times New Roman" w:hAnsi="Times New Roman" w:cs="Times New Roman"/>
          <w:sz w:val="20"/>
          <w:szCs w:val="20"/>
        </w:rPr>
        <w:t xml:space="preserve"> in comparison to other areas that is % area falling under r</w:t>
      </w:r>
      <w:r w:rsidRPr="00753D0C">
        <w:rPr>
          <w:rFonts w:ascii="Times New Roman" w:hAnsi="Times New Roman" w:cs="Times New Roman"/>
          <w:sz w:val="20"/>
          <w:szCs w:val="20"/>
        </w:rPr>
        <w:t>ugged and rough terrain</w:t>
      </w:r>
    </w:p>
    <w:p w:rsidR="003D71DC" w:rsidRPr="003B0CFE" w:rsidRDefault="003D71DC" w:rsidP="005E5B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B0CFE">
        <w:rPr>
          <w:rFonts w:ascii="Times New Roman" w:hAnsi="Times New Roman" w:cs="Times New Roman"/>
          <w:sz w:val="20"/>
          <w:szCs w:val="20"/>
        </w:rPr>
        <w:t>Desert and hyper arid areas</w:t>
      </w:r>
      <w:r w:rsidR="003B0CFE" w:rsidRPr="003B0CFE">
        <w:rPr>
          <w:rFonts w:ascii="Times New Roman" w:hAnsi="Times New Roman" w:cs="Times New Roman"/>
          <w:sz w:val="20"/>
          <w:szCs w:val="20"/>
        </w:rPr>
        <w:t xml:space="preserve">, </w:t>
      </w:r>
      <w:r w:rsidR="003B0CFE">
        <w:rPr>
          <w:rFonts w:ascii="Times New Roman" w:hAnsi="Times New Roman" w:cs="Times New Roman"/>
          <w:sz w:val="20"/>
          <w:szCs w:val="20"/>
        </w:rPr>
        <w:t xml:space="preserve">(Annual Average </w:t>
      </w:r>
      <w:r w:rsidRPr="003B0CFE">
        <w:rPr>
          <w:rFonts w:ascii="Times New Roman" w:hAnsi="Times New Roman" w:cs="Times New Roman"/>
          <w:sz w:val="20"/>
          <w:szCs w:val="20"/>
        </w:rPr>
        <w:t>Rainfall below 100 mm</w:t>
      </w:r>
      <w:r w:rsidR="003B0CFE">
        <w:rPr>
          <w:rFonts w:ascii="Times New Roman" w:hAnsi="Times New Roman" w:cs="Times New Roman"/>
          <w:sz w:val="20"/>
          <w:szCs w:val="20"/>
        </w:rPr>
        <w:t>)</w:t>
      </w:r>
      <w:r w:rsidRPr="003B0CFE">
        <w:rPr>
          <w:rFonts w:ascii="Times New Roman" w:hAnsi="Times New Roman" w:cs="Times New Roman"/>
          <w:sz w:val="20"/>
          <w:szCs w:val="20"/>
        </w:rPr>
        <w:t>.</w:t>
      </w:r>
    </w:p>
    <w:p w:rsidR="006C52B1" w:rsidRPr="003B0CFE" w:rsidRDefault="003B0CFE" w:rsidP="003B0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Areas </w:t>
      </w:r>
      <w:r w:rsidR="003D71DC" w:rsidRPr="00753D0C">
        <w:rPr>
          <w:rFonts w:ascii="Times New Roman" w:hAnsi="Times New Roman" w:cs="Times New Roman"/>
          <w:sz w:val="20"/>
          <w:szCs w:val="20"/>
        </w:rPr>
        <w:t>with High Security Risk</w:t>
      </w:r>
    </w:p>
    <w:sectPr w:rsidR="006C52B1" w:rsidRPr="003B0CF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889" w:rsidRDefault="00932889" w:rsidP="00820D82">
      <w:pPr>
        <w:spacing w:after="0" w:line="240" w:lineRule="auto"/>
      </w:pPr>
      <w:r>
        <w:separator/>
      </w:r>
    </w:p>
  </w:endnote>
  <w:endnote w:type="continuationSeparator" w:id="0">
    <w:p w:rsidR="00932889" w:rsidRDefault="00932889" w:rsidP="00820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1192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0D82" w:rsidRDefault="00820D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20D82" w:rsidRDefault="00820D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889" w:rsidRDefault="00932889" w:rsidP="00820D82">
      <w:pPr>
        <w:spacing w:after="0" w:line="240" w:lineRule="auto"/>
      </w:pPr>
      <w:r>
        <w:separator/>
      </w:r>
    </w:p>
  </w:footnote>
  <w:footnote w:type="continuationSeparator" w:id="0">
    <w:p w:rsidR="00932889" w:rsidRDefault="00932889" w:rsidP="00820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506B"/>
    <w:multiLevelType w:val="hybridMultilevel"/>
    <w:tmpl w:val="9940965A"/>
    <w:lvl w:ilvl="0" w:tplc="A3C40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FA6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404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0A3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2A7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00F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244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E23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3A1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6B438F"/>
    <w:multiLevelType w:val="hybridMultilevel"/>
    <w:tmpl w:val="FFDC26C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0F3A4CD6"/>
    <w:multiLevelType w:val="singleLevel"/>
    <w:tmpl w:val="A0D461C4"/>
    <w:lvl w:ilvl="0">
      <w:start w:val="1"/>
      <w:numFmt w:val="bullet"/>
      <w:pStyle w:val="ListBullet"/>
      <w:lvlText w:val="·"/>
      <w:lvlJc w:val="left"/>
      <w:pPr>
        <w:tabs>
          <w:tab w:val="num" w:pos="1192"/>
        </w:tabs>
        <w:ind w:left="1192" w:hanging="341"/>
      </w:pPr>
      <w:rPr>
        <w:rFonts w:ascii="Symbol" w:hAnsi="Symbol" w:hint="default"/>
        <w:b w:val="0"/>
        <w:i w:val="0"/>
        <w:sz w:val="22"/>
      </w:rPr>
    </w:lvl>
  </w:abstractNum>
  <w:abstractNum w:abstractNumId="3" w15:restartNumberingAfterBreak="0">
    <w:nsid w:val="0F810457"/>
    <w:multiLevelType w:val="hybridMultilevel"/>
    <w:tmpl w:val="7AC676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8D0186"/>
    <w:multiLevelType w:val="hybridMultilevel"/>
    <w:tmpl w:val="4FB8B1EE"/>
    <w:lvl w:ilvl="0" w:tplc="7932F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405A6E">
      <w:start w:val="25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AB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5A3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AC4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5AD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32F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B2A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824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AD66865"/>
    <w:multiLevelType w:val="hybridMultilevel"/>
    <w:tmpl w:val="28D4A4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C5889D42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2D50C7"/>
    <w:multiLevelType w:val="hybridMultilevel"/>
    <w:tmpl w:val="30FA43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89092A"/>
    <w:multiLevelType w:val="hybridMultilevel"/>
    <w:tmpl w:val="B024D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B00C9"/>
    <w:multiLevelType w:val="hybridMultilevel"/>
    <w:tmpl w:val="88A8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4517E"/>
    <w:multiLevelType w:val="hybridMultilevel"/>
    <w:tmpl w:val="325C52D4"/>
    <w:lvl w:ilvl="0" w:tplc="1702E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223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CEE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887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2CF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5CF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882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A69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D8D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2CB513D"/>
    <w:multiLevelType w:val="hybridMultilevel"/>
    <w:tmpl w:val="A7B431AC"/>
    <w:lvl w:ilvl="0" w:tplc="0338B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5E2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8E2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20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E82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2A0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9EB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B2E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AEB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55F2C40"/>
    <w:multiLevelType w:val="hybridMultilevel"/>
    <w:tmpl w:val="D1EE236A"/>
    <w:lvl w:ilvl="0" w:tplc="857C456C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6B17F7"/>
    <w:multiLevelType w:val="hybridMultilevel"/>
    <w:tmpl w:val="B024D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A09D9"/>
    <w:multiLevelType w:val="hybridMultilevel"/>
    <w:tmpl w:val="E506D642"/>
    <w:lvl w:ilvl="0" w:tplc="4DBED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1EC40C">
      <w:start w:val="25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C87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407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BA6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08C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20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6F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8AF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10"/>
  </w:num>
  <w:num w:numId="8">
    <w:abstractNumId w:val="9"/>
  </w:num>
  <w:num w:numId="9">
    <w:abstractNumId w:val="13"/>
  </w:num>
  <w:num w:numId="10">
    <w:abstractNumId w:val="4"/>
  </w:num>
  <w:num w:numId="11">
    <w:abstractNumId w:val="8"/>
  </w:num>
  <w:num w:numId="12">
    <w:abstractNumId w:val="7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1DC"/>
    <w:rsid w:val="000878E6"/>
    <w:rsid w:val="00237813"/>
    <w:rsid w:val="0036559B"/>
    <w:rsid w:val="003A6B1C"/>
    <w:rsid w:val="003B0CFE"/>
    <w:rsid w:val="003B51F1"/>
    <w:rsid w:val="003D71DC"/>
    <w:rsid w:val="00503728"/>
    <w:rsid w:val="0060393D"/>
    <w:rsid w:val="0065331A"/>
    <w:rsid w:val="006A178C"/>
    <w:rsid w:val="006C52B1"/>
    <w:rsid w:val="00820D82"/>
    <w:rsid w:val="008462E3"/>
    <w:rsid w:val="00932889"/>
    <w:rsid w:val="00A360F2"/>
    <w:rsid w:val="00C92451"/>
    <w:rsid w:val="00CB5110"/>
    <w:rsid w:val="00CF62DC"/>
    <w:rsid w:val="00F06E04"/>
    <w:rsid w:val="00FC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68144-4663-4969-9A1B-D0397EFD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1DC"/>
    <w:pPr>
      <w:ind w:left="720"/>
      <w:contextualSpacing/>
    </w:pPr>
  </w:style>
  <w:style w:type="table" w:styleId="TableGrid">
    <w:name w:val="Table Grid"/>
    <w:basedOn w:val="TableNormal"/>
    <w:uiPriority w:val="39"/>
    <w:rsid w:val="003D7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3D71DC"/>
    <w:pPr>
      <w:numPr>
        <w:numId w:val="5"/>
      </w:numPr>
      <w:spacing w:after="240" w:line="240" w:lineRule="auto"/>
      <w:contextualSpacing/>
      <w:jc w:val="both"/>
    </w:pPr>
    <w:rPr>
      <w:rFonts w:ascii="Times New Roman" w:eastAsia="Calibri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2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2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0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D82"/>
  </w:style>
  <w:style w:type="paragraph" w:styleId="Footer">
    <w:name w:val="footer"/>
    <w:basedOn w:val="Normal"/>
    <w:link w:val="FooterChar"/>
    <w:uiPriority w:val="99"/>
    <w:unhideWhenUsed/>
    <w:rsid w:val="00820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5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5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5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67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0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3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8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4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6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3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Sardar, MuhammadArshad (FAOPK)</dc:creator>
  <cp:keywords/>
  <dc:description/>
  <cp:lastModifiedBy>Mahdi, Waleed (FAOPK)</cp:lastModifiedBy>
  <cp:revision>2</cp:revision>
  <cp:lastPrinted>2022-08-02T06:09:00Z</cp:lastPrinted>
  <dcterms:created xsi:type="dcterms:W3CDTF">2022-08-12T09:09:00Z</dcterms:created>
  <dcterms:modified xsi:type="dcterms:W3CDTF">2022-08-12T09:09:00Z</dcterms:modified>
</cp:coreProperties>
</file>