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583e3a9852e3f8faa47467026ac8aeac034220e"/>
    <w:p>
      <w:pPr>
        <w:pStyle w:val="Heading1"/>
      </w:pPr>
      <w:r>
        <w:t xml:space="preserve">Building a Standalone Corporate Travel Policy and Approvals Platform</w:t>
      </w:r>
    </w:p>
    <w:bookmarkStart w:id="28" w:name="executive-summary"/>
    <w:p>
      <w:pPr>
        <w:pStyle w:val="Heading2"/>
      </w:pPr>
      <w:r>
        <w:t xml:space="preserve">Executive summary</w:t>
      </w:r>
    </w:p>
    <w:p>
      <w:pPr>
        <w:pStyle w:val="FirstParagraph"/>
      </w:pPr>
      <w:r>
        <w:t xml:space="preserve">A modern standalone corporate travel policy and approvals product is commercially and technically viable, but it should be positioned as a</w:t>
      </w:r>
      <w:r>
        <w:t xml:space="preserve"> </w:t>
      </w:r>
      <w:r>
        <w:rPr>
          <w:b/>
          <w:bCs/>
        </w:rPr>
        <w:t xml:space="preserve">travel control plane</w:t>
      </w:r>
      <w:r>
        <w:t xml:space="preserve"> </w:t>
      </w:r>
      <w:r>
        <w:t xml:space="preserve">rather than as another online booking tool. The market signal is that business travel remains large, policy sophistication is increasing, and buyers still struggle with clarity, compliance, accessibility, visibility and multi-system coordination. The Global Business Travel Association</w:t>
      </w:r>
      <w:hyperlink r:id="rId21">
        <w:r>
          <w:rPr>
            <w:rStyle w:val="Hyperlink"/>
          </w:rPr>
          <w:t xml:space="preserve">[1]</w:t>
        </w:r>
      </w:hyperlink>
      <w:r>
        <w:t xml:space="preserve"> </w:t>
      </w:r>
      <w:r>
        <w:t xml:space="preserve">forecast global business travel spending at $1.57 trillion in 2025, and its 2026 policy research with ALTOUR said policies are modernising while meaningful gaps remain in accessibility, clarity and compliance.</w:t>
      </w:r>
      <w:r>
        <w:t xml:space="preserve"> </w:t>
      </w:r>
      <w:hyperlink r:id="rId22">
        <w:r>
          <w:rPr>
            <w:rStyle w:val="Hyperlink"/>
          </w:rPr>
          <w:t xml:space="preserve">[2]</w:t>
        </w:r>
      </w:hyperlink>
    </w:p>
    <w:p>
      <w:pPr>
        <w:pStyle w:val="BodyText"/>
      </w:pPr>
      <w:r>
        <w:t xml:space="preserve">The strongest product position is therefore</w:t>
      </w:r>
      <w:r>
        <w:t xml:space="preserve"> </w:t>
      </w:r>
      <w:r>
        <w:rPr>
          <w:b/>
          <w:bCs/>
        </w:rPr>
        <w:t xml:space="preserve">independent policy decisioning, approval orchestration, identity synchronisation and audit-grade reporting that can plug into multiple booking tools, TMC workflows and payment systems</w:t>
      </w:r>
      <w:r>
        <w:t xml:space="preserve">. That position addresses an obvious structural gap: most incumbents bundle policies inside broader travel-and-expense suites, while buyers increasingly need consistent controls across direct booking, multiple tools, HR systems, ERP, cards and duty-of-care feeds. Global Business Travel Association</w:t>
      </w:r>
      <w:hyperlink r:id="rId21">
        <w:r>
          <w:rPr>
            <w:rStyle w:val="Hyperlink"/>
          </w:rPr>
          <w:t xml:space="preserve">[1]</w:t>
        </w:r>
      </w:hyperlink>
      <w:r>
        <w:t xml:space="preserve"> </w:t>
      </w:r>
      <w:r>
        <w:t xml:space="preserve">has also warned that unmanaged direct booking undermines visibility, policy enforcement, duty of care and supplier programme benefits, which strengthens the case for a portable policy layer independent of any single booking channel.</w:t>
      </w:r>
      <w:r>
        <w:t xml:space="preserve"> </w:t>
      </w:r>
      <w:hyperlink r:id="rId23">
        <w:r>
          <w:rPr>
            <w:rStyle w:val="Hyperlink"/>
          </w:rPr>
          <w:t xml:space="preserve">[3]</w:t>
        </w:r>
      </w:hyperlink>
    </w:p>
    <w:p>
      <w:pPr>
        <w:pStyle w:val="BodyText"/>
      </w:pPr>
      <w:r>
        <w:t xml:space="preserve">The best near-term customer targets are</w:t>
      </w:r>
      <w:r>
        <w:t xml:space="preserve"> </w:t>
      </w:r>
      <w:r>
        <w:rPr>
          <w:b/>
          <w:bCs/>
        </w:rPr>
        <w:t xml:space="preserve">mid-market programmes with real governance complexity</w:t>
      </w:r>
      <w:r>
        <w:t xml:space="preserve"> </w:t>
      </w:r>
      <w:r>
        <w:t xml:space="preserve">and</w:t>
      </w:r>
      <w:r>
        <w:t xml:space="preserve"> </w:t>
      </w:r>
      <w:r>
        <w:rPr>
          <w:b/>
          <w:bCs/>
        </w:rPr>
        <w:t xml:space="preserve">TMCs that want a white-label or OEM policy/approval layer</w:t>
      </w:r>
      <w:r>
        <w:t xml:space="preserve">. SMEs are often adequately served by bundled policy features from all-in-one tools, and large enterprises do have pain that a standalone layer can solve, but sales cycles, security reviews, global rollout demands and incumbent entrenchment are materially harder. , , urlSAP Concurturn0search0, urlSpotnanaturn1search8 and urlSerkoturn1search4 all position policy as part of a wider travel or travel-and-spend stack, which is exactly why a neutral, integratable control layer has room to exist.</w:t>
      </w:r>
      <w:r>
        <w:t xml:space="preserve"> </w:t>
      </w:r>
      <w:hyperlink r:id="rId24">
        <w:r>
          <w:rPr>
            <w:rStyle w:val="Hyperlink"/>
          </w:rPr>
          <w:t xml:space="preserve">[4]</w:t>
        </w:r>
      </w:hyperlink>
    </w:p>
    <w:p>
      <w:pPr>
        <w:pStyle w:val="BodyText"/>
      </w:pPr>
      <w:r>
        <w:t xml:space="preserve">Technically, the best design is an</w:t>
      </w:r>
      <w:r>
        <w:t xml:space="preserve"> </w:t>
      </w:r>
      <w:r>
        <w:rPr>
          <w:b/>
          <w:bCs/>
        </w:rPr>
        <w:t xml:space="preserve">API-first canonical policy model</w:t>
      </w:r>
      <w:r>
        <w:t xml:space="preserve"> </w:t>
      </w:r>
      <w:r>
        <w:t xml:space="preserve">with synchronous decision APIs for search and booking, asynchronous approval workflows for escalations, SCIM for lifecycle provisioning, SAML and OIDC for SSO, and a versioned event stream for audit, analytics and mid-office reconciliation. For policy-as-code, the strongest architecture is usually a</w:t>
      </w:r>
      <w:r>
        <w:t xml:space="preserve"> </w:t>
      </w:r>
      <w:r>
        <w:rPr>
          <w:b/>
          <w:bCs/>
        </w:rPr>
        <w:t xml:space="preserve">hybrid</w:t>
      </w:r>
      <w:r>
        <w:t xml:space="preserve">: a customer-friendly policy DSL and UI as the source of truth, compiled into executable rules, with Open Policy Agent</w:t>
      </w:r>
      <w:hyperlink r:id="rId25">
        <w:r>
          <w:rPr>
            <w:rStyle w:val="Hyperlink"/>
          </w:rPr>
          <w:t xml:space="preserve">[5]</w:t>
        </w:r>
      </w:hyperlink>
      <w:r>
        <w:t xml:space="preserve"> </w:t>
      </w:r>
      <w:r>
        <w:t xml:space="preserve">suited to rich, testable, low-latency travel policy evaluation, while Cedar</w:t>
      </w:r>
      <w:hyperlink r:id="rId26">
        <w:r>
          <w:rPr>
            <w:rStyle w:val="Hyperlink"/>
          </w:rPr>
          <w:t xml:space="preserve">[6]</w:t>
        </w:r>
      </w:hyperlink>
      <w:r>
        <w:t xml:space="preserve"> </w:t>
      </w:r>
      <w:r>
        <w:t xml:space="preserve">is better reserved for internal authorisation and entitlement checks rather than the full travel-policy domain.</w:t>
      </w:r>
      <w:r>
        <w:t xml:space="preserve"> </w:t>
      </w:r>
      <w:hyperlink r:id="rId27">
        <w:r>
          <w:rPr>
            <w:rStyle w:val="Hyperlink"/>
          </w:rPr>
          <w:t xml:space="preserve">[7]</w:t>
        </w:r>
      </w:hyperlink>
    </w:p>
    <w:p>
      <w:pPr>
        <w:pStyle w:val="BodyText"/>
      </w:pPr>
      <w:r>
        <w:t xml:space="preserve">For build and operations, your stated preference for urlKiroturn3search15 and urlAWShttps://aws.amazon.com is well aligned to a low-headcount approach. Kiro’s steering, hooks and powers support consistent domain rules, automated checks and reusable build patterns, while AWS’s managed serverless and identity services support event-driven decisioning, tenant isolation, SSO federation, audit trails and embedded analytics without a large ops team.</w:t>
      </w:r>
      <w:r>
        <w:t xml:space="preserve"> </w:t>
      </w:r>
      <w:hyperlink r:id="rId26">
        <w:r>
          <w:rPr>
            <w:rStyle w:val="Hyperlink"/>
          </w:rPr>
          <w:t xml:space="preserve">[8]</w:t>
        </w:r>
      </w:hyperlink>
    </w:p>
    <w:p>
      <w:pPr>
        <w:pStyle w:val="BodyText"/>
      </w:pPr>
      <w:r>
        <w:t xml:space="preserve">Commercially, a standalone product should</w:t>
      </w:r>
      <w:r>
        <w:t xml:space="preserve"> </w:t>
      </w:r>
      <w:r>
        <w:rPr>
          <w:b/>
          <w:bCs/>
        </w:rPr>
        <w:t xml:space="preserve">not</w:t>
      </w:r>
      <w:r>
        <w:t xml:space="preserve"> </w:t>
      </w:r>
      <w:r>
        <w:t xml:space="preserve">copy booking-fee economics directly from OBTs. The best model is a hybrid of platform fee, active-traveller bands, legal-entity complexity and evaluated-trip or policy-decision usage, with OEM pricing for TMCs. Public market signals support that conclusion: publishes travel platform pricing using monthly platform fees plus booking fees and spend pricing per user, whereas urlNavanturn0search1 publicly describes tailored plans rather than a simple self-serve tariff. A pure per-seat model is too blunt for travel governance; a pure transaction model can punish healthy policy adoption and search volume.</w:t>
      </w:r>
      <w:r>
        <w:t xml:space="preserve"> </w:t>
      </w:r>
      <w:hyperlink r:id="rId24">
        <w:r>
          <w:rPr>
            <w:rStyle w:val="Hyperlink"/>
          </w:rPr>
          <w:t xml:space="preserve">[9]</w:t>
        </w:r>
      </w:hyperlink>
    </w:p>
    <w:bookmarkEnd w:id="28"/>
    <w:bookmarkStart w:id="41" w:name="market-landscape-and-product-positioning"/>
    <w:p>
      <w:pPr>
        <w:pStyle w:val="Heading2"/>
      </w:pPr>
      <w:r>
        <w:t xml:space="preserve">Market landscape and product positioning</w:t>
      </w:r>
    </w:p>
    <w:p>
      <w:pPr>
        <w:pStyle w:val="FirstParagraph"/>
      </w:pPr>
      <w:r>
        <w:t xml:space="preserve">The market has many products with policy features, but relatively few products whose</w:t>
      </w:r>
      <w:r>
        <w:t xml:space="preserve"> </w:t>
      </w:r>
      <w:r>
        <w:rPr>
          <w:b/>
          <w:bCs/>
        </w:rPr>
        <w:t xml:space="preserve">primary product identity</w:t>
      </w:r>
      <w:r>
        <w:t xml:space="preserve"> </w:t>
      </w:r>
      <w:r>
        <w:t xml:space="preserve">is policy orchestration across travel channels. That distinction matters. A standalone policy and approvals product should not attempt to beat full-suite incumbents on content, traveler UX or 24/7 servicing. It should win by becoming the</w:t>
      </w:r>
      <w:r>
        <w:t xml:space="preserve"> </w:t>
      </w:r>
      <w:r>
        <w:rPr>
          <w:b/>
          <w:bCs/>
        </w:rPr>
        <w:t xml:space="preserve">portable truth layer</w:t>
      </w:r>
      <w:r>
        <w:t xml:space="preserve"> </w:t>
      </w:r>
      <w:r>
        <w:t xml:space="preserve">for “who is allowed to book what, how, under which payment, through which exception path, and with what audit outcome”. That is a different buying conversation from “replace our OBT”.</w:t>
      </w:r>
      <w:r>
        <w:t xml:space="preserve"> </w:t>
      </w:r>
      <w:hyperlink r:id="rId25">
        <w:r>
          <w:rPr>
            <w:rStyle w:val="Hyperlink"/>
          </w:rPr>
          <w:t xml:space="preserve">[10]</w:t>
        </w:r>
      </w:hyperlink>
    </w:p>
    <w:p>
      <w:pPr>
        <w:pStyle w:val="BodyText"/>
      </w:pPr>
      <w:r>
        <w:t xml:space="preserve">The official material from major vendors shows a category where policy is already expected, but usually embedded inside broader platforms. urlSAP Concurturn0search0 highlights out-of-policy routing, mobile approval and reporting. urlNavanturn0search9 highlights real-time policy enforcement across travel, expense and cards. highlights flexible policies, real-time visibility, role-based controls, VAT and invoicing. urlSpotnanaturn1search16 highlights self-service controls for legal entities, policies, approval workflows, payment methods and custom fields. urlSerkoturn1search4 highlights policies, rates, approvals and budgets by role and trip type. In other words, policy is already table stakes. The opening for a new entrant is</w:t>
      </w:r>
      <w:r>
        <w:t xml:space="preserve"> </w:t>
      </w:r>
      <w:r>
        <w:rPr>
          <w:b/>
          <w:bCs/>
        </w:rPr>
        <w:t xml:space="preserve">cross-platform control, neutrality, configurability and auditability</w:t>
      </w:r>
      <w:r>
        <w:t xml:space="preserve">.</w:t>
      </w:r>
      <w:r>
        <w:t xml:space="preserve"> </w:t>
      </w:r>
      <w:hyperlink r:id="rId29">
        <w:r>
          <w:rPr>
            <w:rStyle w:val="Hyperlink"/>
          </w:rPr>
          <w:t xml:space="preserve">[11]</w:t>
        </w:r>
      </w:hyperlink>
    </w:p>
    <w:p>
      <w:pPr>
        <w:pStyle w:val="BodyText"/>
      </w:pPr>
      <w:r>
        <w:t xml:space="preserve">Buyer pain points are also visible from both industry research and vendor positioning. Global Business Travel Association</w:t>
      </w:r>
      <w:hyperlink r:id="rId21">
        <w:r>
          <w:rPr>
            <w:rStyle w:val="Hyperlink"/>
          </w:rPr>
          <w:t xml:space="preserve">[1]</w:t>
        </w:r>
      </w:hyperlink>
      <w:r>
        <w:t xml:space="preserve"> </w:t>
      </w:r>
      <w:r>
        <w:t xml:space="preserve">has documented that unmanaged direct booking creates visibility and duty-of-care problems, while its 2026 policy research points to ongoing issues around policy clarity and compliance. The repeated vendor emphasis on real-time visibility, legal-entity controls, approval automation, integrated payments, HR integrations and reporting strongly suggests the persistent pain is not “we have no policy tool”, but rather “our policy logic is fragmented, hard to maintain and inconsistently enforced across systems”. That is the precise gap a standalone policy layer can address.</w:t>
      </w:r>
      <w:r>
        <w:t xml:space="preserve"> </w:t>
      </w:r>
      <w:hyperlink r:id="rId23">
        <w:r>
          <w:rPr>
            <w:rStyle w:val="Hyperlink"/>
          </w:rPr>
          <w:t xml:space="preserve">[12]</w:t>
        </w:r>
      </w:hyperlink>
    </w:p>
    <w:p>
      <w:pPr>
        <w:pStyle w:val="BodyText"/>
      </w:pPr>
      <w:r>
        <w:t xml:space="preserve">The segment attractiveness is uneven.</w:t>
      </w:r>
      <w:r>
        <w:t xml:space="preserve"> </w:t>
      </w:r>
      <w:r>
        <w:rPr>
          <w:b/>
          <w:bCs/>
        </w:rPr>
        <w:t xml:space="preserve">SMEs</w:t>
      </w:r>
      <w:r>
        <w:t xml:space="preserve"> </w:t>
      </w:r>
      <w:r>
        <w:t xml:space="preserve">are usually best reached through embedded or channel sales because bundled products already cover basic approvals and spend controls at low price points.</w:t>
      </w:r>
      <w:r>
        <w:t xml:space="preserve"> </w:t>
      </w:r>
      <w:r>
        <w:rPr>
          <w:b/>
          <w:bCs/>
        </w:rPr>
        <w:t xml:space="preserve">Mid-market firms</w:t>
      </w:r>
      <w:r>
        <w:t xml:space="preserve"> </w:t>
      </w:r>
      <w:r>
        <w:t xml:space="preserve">are the best direct target because they often have more than one legal entity, richer approval chains, negotiated rates and finance complexity, but lack the appetite to re-platform all travel and spend tooling.</w:t>
      </w:r>
      <w:r>
        <w:t xml:space="preserve"> </w:t>
      </w:r>
      <w:r>
        <w:rPr>
          <w:b/>
          <w:bCs/>
        </w:rPr>
        <w:t xml:space="preserve">Enterprises</w:t>
      </w:r>
      <w:r>
        <w:t xml:space="preserve"> </w:t>
      </w:r>
      <w:r>
        <w:t xml:space="preserve">genuinely need portable policies across multiple geographies, HR systems and booking tools, but they demand strong residency, audit, simulation, procurement and implementation capabilities.</w:t>
      </w:r>
      <w:r>
        <w:t xml:space="preserve"> </w:t>
      </w:r>
      <w:r>
        <w:rPr>
          <w:b/>
          <w:bCs/>
        </w:rPr>
        <w:t xml:space="preserve">TMCs</w:t>
      </w:r>
      <w:r>
        <w:t xml:space="preserve"> </w:t>
      </w:r>
      <w:r>
        <w:t xml:space="preserve">are especially attractive because they repeatedly need configurable approval and policy logic across many client programmes, and often carry the burden of bespoke workflows that are expensive to maintain.</w:t>
      </w:r>
      <w:r>
        <w:t xml:space="preserve"> </w:t>
      </w:r>
      <w:hyperlink r:id="rId24">
        <w:r>
          <w:rPr>
            <w:rStyle w:val="Hyperlink"/>
          </w:rPr>
          <w:t xml:space="preserve">[13]</w:t>
        </w:r>
      </w:hyperlink>
    </w:p>
    <w:bookmarkStart w:id="40" w:name="competitor-comparison"/>
    <w:p>
      <w:pPr>
        <w:pStyle w:val="Heading3"/>
      </w:pPr>
      <w:r>
        <w:t xml:space="preserve">Competitor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Provider</w:t>
            </w:r>
          </w:p>
        </w:tc>
        <w:tc>
          <w:tcPr/>
          <w:p>
            <w:pPr>
              <w:pStyle w:val="Compact"/>
            </w:pPr>
            <w:r>
              <w:t xml:space="preserve">What the official sources signal on policy and approvals</w:t>
            </w:r>
          </w:p>
        </w:tc>
        <w:tc>
          <w:tcPr/>
          <w:p>
            <w:pPr>
              <w:pStyle w:val="Compact"/>
            </w:pPr>
            <w:r>
              <w:t xml:space="preserve">Integration methods signalled publicly</w:t>
            </w:r>
          </w:p>
        </w:tc>
        <w:tc>
          <w:tcPr/>
          <w:p>
            <w:pPr>
              <w:pStyle w:val="Compact"/>
            </w:pPr>
            <w:r>
              <w:t xml:space="preserve">Pricing visibility</w:t>
            </w:r>
          </w:p>
        </w:tc>
        <w:tc>
          <w:tcPr/>
          <w:p>
            <w:pPr>
              <w:pStyle w:val="Compact"/>
            </w:pPr>
            <w:r>
              <w:t xml:space="preserve">Main implication for a standalone entrant</w:t>
            </w:r>
          </w:p>
        </w:tc>
      </w:tr>
      <w:tr>
        <w:tc>
          <w:tcPr/>
          <w:p>
            <w:pPr>
              <w:pStyle w:val="Compact"/>
            </w:pPr>
            <w:r>
              <w:t xml:space="preserve">urlSAP Concurturn0search0</w:t>
            </w:r>
          </w:p>
        </w:tc>
        <w:tc>
          <w:tcPr/>
          <w:p>
            <w:pPr>
              <w:pStyle w:val="Compact"/>
            </w:pPr>
            <w:r>
              <w:t xml:space="preserve">Routes out-of-policy trips for approval, supports custom out-of-policy triggers, web/mobile approval and built-in reporting.</w:t>
            </w:r>
            <w:r>
              <w:t xml:space="preserve"> </w:t>
            </w:r>
            <w:hyperlink r:id="rId29">
              <w:r>
                <w:rPr>
                  <w:rStyle w:val="Hyperlink"/>
                </w:rPr>
                <w:t xml:space="preserve">[14]</w:t>
              </w:r>
            </w:hyperlink>
          </w:p>
        </w:tc>
        <w:tc>
          <w:tcPr/>
          <w:p>
            <w:pPr>
              <w:pStyle w:val="Compact"/>
            </w:pPr>
            <w:r>
              <w:t xml:space="preserve">Strong ecosystem positioning, but policy is principally embedded in a broader travel-and-expense suite.</w:t>
            </w:r>
            <w:r>
              <w:t xml:space="preserve"> </w:t>
            </w:r>
            <w:hyperlink r:id="rId29">
              <w:r>
                <w:rPr>
                  <w:rStyle w:val="Hyperlink"/>
                </w:rPr>
                <w:t xml:space="preserve">[15]</w:t>
              </w:r>
            </w:hyperlink>
          </w:p>
        </w:tc>
        <w:tc>
          <w:tcPr/>
          <w:p>
            <w:pPr>
              <w:pStyle w:val="Compact"/>
            </w:pPr>
            <w:r>
              <w:t xml:space="preserve">No standard public self-serve pricing was visible in the reviewed official sources.</w:t>
            </w:r>
            <w:r>
              <w:t xml:space="preserve"> </w:t>
            </w:r>
            <w:hyperlink r:id="rId29">
              <w:r>
                <w:rPr>
                  <w:rStyle w:val="Hyperlink"/>
                </w:rPr>
                <w:t xml:space="preserve">[15]</w:t>
              </w:r>
            </w:hyperlink>
          </w:p>
        </w:tc>
        <w:tc>
          <w:tcPr/>
          <w:p>
            <w:pPr>
              <w:pStyle w:val="Compact"/>
            </w:pPr>
            <w:r>
              <w:t xml:space="preserve">Hard to displace as a full suite; easier to complement where buyers need cross-tool control or better policy abstraction.</w:t>
            </w:r>
          </w:p>
        </w:tc>
      </w:tr>
      <w:tr>
        <w:tc>
          <w:tcPr/>
          <w:p>
            <w:pPr>
              <w:pStyle w:val="Compact"/>
            </w:pPr>
          </w:p>
        </w:tc>
        <w:tc>
          <w:tcPr/>
          <w:p>
            <w:pPr>
              <w:pStyle w:val="Compact"/>
            </w:pPr>
            <w:r>
              <w:t xml:space="preserve">Positions policy inside integrated travel, expense and payments; flags compliant and non-compliant spend in real time; supports built-in virtual cards.</w:t>
            </w:r>
            <w:r>
              <w:t xml:space="preserve"> </w:t>
            </w:r>
            <w:hyperlink r:id="rId30">
              <w:r>
                <w:rPr>
                  <w:rStyle w:val="Hyperlink"/>
                </w:rPr>
                <w:t xml:space="preserve">[16]</w:t>
              </w:r>
            </w:hyperlink>
          </w:p>
        </w:tc>
        <w:tc>
          <w:tcPr/>
          <w:p>
            <w:pPr>
              <w:pStyle w:val="Compact"/>
            </w:pPr>
            <w:r>
              <w:t xml:space="preserve">Direct integrations, SFTP and APIs; supports SAML, OIDC and SCIM-based provisioning paths.</w:t>
            </w:r>
            <w:r>
              <w:t xml:space="preserve"> </w:t>
            </w:r>
            <w:hyperlink r:id="rId31">
              <w:r>
                <w:rPr>
                  <w:rStyle w:val="Hyperlink"/>
                </w:rPr>
                <w:t xml:space="preserve">[17]</w:t>
              </w:r>
            </w:hyperlink>
          </w:p>
        </w:tc>
        <w:tc>
          <w:tcPr/>
          <w:p>
            <w:pPr>
              <w:pStyle w:val="Compact"/>
            </w:pPr>
            <w:r>
              <w:t xml:space="preserve">Public pricing page exists, but says pricing is flexible and tailored rather than presenting a standard rate card.</w:t>
            </w:r>
            <w:r>
              <w:t xml:space="preserve"> </w:t>
            </w:r>
            <w:hyperlink r:id="rId32">
              <w:r>
                <w:rPr>
                  <w:rStyle w:val="Hyperlink"/>
                </w:rPr>
                <w:t xml:space="preserve">[18]</w:t>
              </w:r>
            </w:hyperlink>
          </w:p>
        </w:tc>
        <w:tc>
          <w:tcPr/>
          <w:p>
            <w:pPr>
              <w:pStyle w:val="Compact"/>
            </w:pPr>
            <w:r>
              <w:t xml:space="preserve">Shows buyers want policy tied to payments and identity; also reinforces the opportunity for a neutral layer where Navan itself is not the booking system of record.</w:t>
            </w:r>
          </w:p>
        </w:tc>
      </w:tr>
      <w:tr>
        <w:tc>
          <w:tcPr/>
          <w:p>
            <w:pPr>
              <w:pStyle w:val="Compact"/>
            </w:pPr>
          </w:p>
        </w:tc>
        <w:tc>
          <w:tcPr/>
          <w:p>
            <w:pPr>
              <w:pStyle w:val="Compact"/>
            </w:pPr>
            <w:r>
              <w:t xml:space="preserve">Public plans include one, 10 or unlimited travel policy and approval processes, plus reporting, SSO, HR integrations and legal-entity limits in spend tiers.</w:t>
            </w:r>
            <w:r>
              <w:t xml:space="preserve"> </w:t>
            </w:r>
            <w:hyperlink r:id="rId24">
              <w:r>
                <w:rPr>
                  <w:rStyle w:val="Hyperlink"/>
                </w:rPr>
                <w:t xml:space="preserve">[19]</w:t>
              </w:r>
            </w:hyperlink>
          </w:p>
        </w:tc>
        <w:tc>
          <w:tcPr/>
          <w:p>
            <w:pPr>
              <w:pStyle w:val="Compact"/>
            </w:pPr>
            <w:r>
              <w:t xml:space="preserve">Marketplace integrations, SSO, HR integrations, ERP connectors and OpenAPI on higher tiers.</w:t>
            </w:r>
            <w:r>
              <w:t xml:space="preserve"> </w:t>
            </w:r>
            <w:hyperlink r:id="rId33">
              <w:r>
                <w:rPr>
                  <w:rStyle w:val="Hyperlink"/>
                </w:rPr>
                <w:t xml:space="preserve">[20]</w:t>
              </w:r>
            </w:hyperlink>
          </w:p>
        </w:tc>
        <w:tc>
          <w:tcPr/>
          <w:p>
            <w:pPr>
              <w:pStyle w:val="Compact"/>
            </w:pPr>
            <w:r>
              <w:t xml:space="preserve">The clearest public pricing signal in the set: travel plans show monthly platform fees plus booking fees, and spend plans show per-user rates.</w:t>
            </w:r>
            <w:r>
              <w:t xml:space="preserve"> </w:t>
            </w:r>
            <w:hyperlink r:id="rId24">
              <w:r>
                <w:rPr>
                  <w:rStyle w:val="Hyperlink"/>
                </w:rPr>
                <w:t xml:space="preserve">[21]</w:t>
              </w:r>
            </w:hyperlink>
          </w:p>
        </w:tc>
        <w:tc>
          <w:tcPr/>
          <w:p>
            <w:pPr>
              <w:pStyle w:val="Compact"/>
            </w:pPr>
            <w:r>
              <w:t xml:space="preserve">Strong benchmark for pricing transparency and mid-market packaging; also proves that policy/approval depth is a monetisable feature.</w:t>
            </w:r>
          </w:p>
        </w:tc>
      </w:tr>
      <w:tr>
        <w:tc>
          <w:tcPr/>
          <w:p>
            <w:pPr>
              <w:pStyle w:val="Compact"/>
            </w:pPr>
            <w:r>
              <w:t xml:space="preserve">urlSpotnanaturn1search8</w:t>
            </w:r>
          </w:p>
        </w:tc>
        <w:tc>
          <w:tcPr/>
          <w:p>
            <w:pPr>
              <w:pStyle w:val="Compact"/>
            </w:pPr>
            <w:r>
              <w:t xml:space="preserve">Self-service control over legal entities, policies, approval workflows, messaging, booking restrictions, payment methods and analytics; has its own system of record and order management independent of the PNR.</w:t>
            </w:r>
            <w:r>
              <w:t xml:space="preserve"> </w:t>
            </w:r>
            <w:hyperlink r:id="rId34">
              <w:r>
                <w:rPr>
                  <w:rStyle w:val="Hyperlink"/>
                </w:rPr>
                <w:t xml:space="preserve">[22]</w:t>
              </w:r>
            </w:hyperlink>
          </w:p>
        </w:tc>
        <w:tc>
          <w:tcPr/>
          <w:p>
            <w:pPr>
              <w:pStyle w:val="Compact"/>
            </w:pPr>
            <w:r>
              <w:t xml:space="preserve">API-first platform using direct integrations, webhooks and transformers; positions itself as an open platform.</w:t>
            </w:r>
            <w:r>
              <w:t xml:space="preserve"> </w:t>
            </w:r>
            <w:hyperlink r:id="rId35">
              <w:r>
                <w:rPr>
                  <w:rStyle w:val="Hyperlink"/>
                </w:rPr>
                <w:t xml:space="preserve">[23]</w:t>
              </w:r>
            </w:hyperlink>
          </w:p>
        </w:tc>
        <w:tc>
          <w:tcPr/>
          <w:p>
            <w:pPr>
              <w:pStyle w:val="Compact"/>
            </w:pPr>
            <w:r>
              <w:t xml:space="preserve">No standard public pricing was visible in the reviewed official sources.</w:t>
            </w:r>
            <w:r>
              <w:t xml:space="preserve"> </w:t>
            </w:r>
            <w:hyperlink r:id="rId36">
              <w:r>
                <w:rPr>
                  <w:rStyle w:val="Hyperlink"/>
                </w:rPr>
                <w:t xml:space="preserve">[24]</w:t>
              </w:r>
            </w:hyperlink>
          </w:p>
        </w:tc>
        <w:tc>
          <w:tcPr/>
          <w:p>
            <w:pPr>
              <w:pStyle w:val="Compact"/>
            </w:pPr>
            <w:r>
              <w:t xml:space="preserve">The most direct strategic reference point: a neutral system-of-record and policy service is already a credible architecture in the market.</w:t>
            </w:r>
          </w:p>
        </w:tc>
      </w:tr>
      <w:tr>
        <w:tc>
          <w:tcPr/>
          <w:p>
            <w:pPr>
              <w:pStyle w:val="Compact"/>
            </w:pPr>
            <w:r>
              <w:t xml:space="preserve">urlSerkoturn1search1</w:t>
            </w:r>
          </w:p>
        </w:tc>
        <w:tc>
          <w:tcPr/>
          <w:p>
            <w:pPr>
              <w:pStyle w:val="Compact"/>
            </w:pPr>
            <w:r>
              <w:t xml:space="preserve">Supports policies, negotiated rates, budgets, preferred suppliers, multiple approvers, multiple payment methods, virtual cards and sustainability choices.</w:t>
            </w:r>
            <w:r>
              <w:t xml:space="preserve"> </w:t>
            </w:r>
            <w:hyperlink r:id="rId37">
              <w:r>
                <w:rPr>
                  <w:rStyle w:val="Hyperlink"/>
                </w:rPr>
                <w:t xml:space="preserve">[25]</w:t>
              </w:r>
            </w:hyperlink>
          </w:p>
        </w:tc>
        <w:tc>
          <w:tcPr/>
          <w:p>
            <w:pPr>
              <w:pStyle w:val="Compact"/>
            </w:pPr>
            <w:r>
              <w:t xml:space="preserve">Product-led configuration inside Zeno; official sources emphasise booking choice breadth more than open third-party integration patterns.</w:t>
            </w:r>
            <w:r>
              <w:t xml:space="preserve"> </w:t>
            </w:r>
            <w:hyperlink r:id="rId38">
              <w:r>
                <w:rPr>
                  <w:rStyle w:val="Hyperlink"/>
                </w:rPr>
                <w:t xml:space="preserve">[26]</w:t>
              </w:r>
            </w:hyperlink>
          </w:p>
        </w:tc>
        <w:tc>
          <w:tcPr/>
          <w:p>
            <w:pPr>
              <w:pStyle w:val="Compact"/>
            </w:pPr>
            <w:r>
              <w:t xml:space="preserve">Demo-led in the reviewed official sources; no public list pricing found.</w:t>
            </w:r>
            <w:r>
              <w:t xml:space="preserve"> </w:t>
            </w:r>
            <w:hyperlink r:id="rId37">
              <w:r>
                <w:rPr>
                  <w:rStyle w:val="Hyperlink"/>
                </w:rPr>
                <w:t xml:space="preserve">[27]</w:t>
              </w:r>
            </w:hyperlink>
          </w:p>
        </w:tc>
        <w:tc>
          <w:tcPr/>
          <w:p>
            <w:pPr>
              <w:pStyle w:val="Compact"/>
            </w:pPr>
            <w:r>
              <w:t xml:space="preserve">Strong evidence that travel buyers want highly configurable approvals, negotiated-rate control and sustainability embedded in travel policy.</w:t>
            </w:r>
          </w:p>
        </w:tc>
      </w:tr>
      <w:tr>
        <w:tc>
          <w:tcPr/>
          <w:p>
            <w:pPr>
              <w:pStyle w:val="Compact"/>
            </w:pPr>
            <w:r>
              <w:t xml:space="preserve">Bespoke / custom TMC stacks</w:t>
            </w:r>
          </w:p>
        </w:tc>
        <w:tc>
          <w:tcPr/>
          <w:p>
            <w:pPr>
              <w:pStyle w:val="Compact"/>
            </w:pPr>
            <w:r>
              <w:t xml:space="preserve">Still attractive when local workflow fit matters, but the market emphasis on replacing manual scripting tools and introducing open system-of-record models implies bespoke stacks remain painful to maintain and hard to normalise.</w:t>
            </w:r>
            <w:r>
              <w:t xml:space="preserve"> </w:t>
            </w:r>
            <w:hyperlink r:id="rId39">
              <w:r>
                <w:rPr>
                  <w:rStyle w:val="Hyperlink"/>
                </w:rPr>
                <w:t xml:space="preserve">[28]</w:t>
              </w:r>
            </w:hyperlink>
          </w:p>
        </w:tc>
        <w:tc>
          <w:tcPr/>
          <w:p>
            <w:pPr>
              <w:pStyle w:val="Compact"/>
            </w:pPr>
            <w:r>
              <w:t xml:space="preserve">Usually a mix of scripts, queue logic, files, email approvals and partial APIs. This is an inference from the open-platform positioning in the market.</w:t>
            </w:r>
            <w:r>
              <w:t xml:space="preserve"> </w:t>
            </w:r>
            <w:hyperlink r:id="rId39">
              <w:r>
                <w:rPr>
                  <w:rStyle w:val="Hyperlink"/>
                </w:rPr>
                <w:t xml:space="preserve">[28]</w:t>
              </w:r>
            </w:hyperlink>
          </w:p>
        </w:tc>
        <w:tc>
          <w:tcPr/>
          <w:p>
            <w:pPr>
              <w:pStyle w:val="Compact"/>
            </w:pPr>
            <w:r>
              <w:t xml:space="preserve">Usually hidden inside service contracts and implementation fees.</w:t>
            </w:r>
          </w:p>
        </w:tc>
        <w:tc>
          <w:tcPr/>
          <w:p>
            <w:pPr>
              <w:pStyle w:val="Compact"/>
            </w:pPr>
            <w:r>
              <w:t xml:space="preserve">Strong OEM opportunity: sell as a modern policy/approval layer that reduces custom workflow maintenance for TMCs.</w:t>
            </w:r>
          </w:p>
        </w:tc>
      </w:tr>
    </w:tbl>
    <w:p>
      <w:pPr>
        <w:pStyle w:val="BodyText"/>
      </w:pPr>
      <w:r>
        <w:t xml:space="preserve">The competitive conclusion is straightforward: a standalone entrant should</w:t>
      </w:r>
      <w:r>
        <w:t xml:space="preserve"> </w:t>
      </w:r>
      <w:r>
        <w:rPr>
          <w:b/>
          <w:bCs/>
        </w:rPr>
        <w:t xml:space="preserve">not</w:t>
      </w:r>
      <w:r>
        <w:t xml:space="preserve"> </w:t>
      </w:r>
      <w:r>
        <w:t xml:space="preserve">compete as a general-purpose OBT. It should aim to be the</w:t>
      </w:r>
      <w:r>
        <w:t xml:space="preserve"> </w:t>
      </w:r>
      <w:r>
        <w:rPr>
          <w:b/>
          <w:bCs/>
        </w:rPr>
        <w:t xml:space="preserve">independent policy and approvals engine</w:t>
      </w:r>
      <w:r>
        <w:t xml:space="preserve"> </w:t>
      </w:r>
      <w:r>
        <w:t xml:space="preserve">that booking tools, TMC desktops, card platforms and finance systems can all call consistently. That is the sharpest gap left by the current market structure.</w:t>
      </w:r>
      <w:r>
        <w:t xml:space="preserve"> </w:t>
      </w:r>
      <w:hyperlink r:id="rId35">
        <w:r>
          <w:rPr>
            <w:rStyle w:val="Hyperlink"/>
          </w:rPr>
          <w:t xml:space="preserve">[29]</w:t>
        </w:r>
      </w:hyperlink>
    </w:p>
    <w:bookmarkEnd w:id="40"/>
    <w:bookmarkEnd w:id="41"/>
    <w:bookmarkStart w:id="46" w:name="functional-scope-and-policy-domain-model"/>
    <w:p>
      <w:pPr>
        <w:pStyle w:val="Heading2"/>
      </w:pPr>
      <w:r>
        <w:t xml:space="preserve">Functional scope and policy domain model</w:t>
      </w:r>
    </w:p>
    <w:p>
      <w:pPr>
        <w:pStyle w:val="FirstParagraph"/>
      </w:pPr>
      <w:r>
        <w:t xml:space="preserve">A credible standalone product needs a policy model broad enough to represent what buyers already expect from integrated suites. That means not only airfare caps and manager sign-off, but also legal-entity routing, negotiated rate entitlement, payment controls, destination-specific constraints, sustainability rules, VAT and invoicing metadata, and reporting that finance teams can actually use. The public product material from , , urlSerkoturn1search17, and shows that the market already expects policy to touch travel, payments, sustainability and reporting together rather than in isolation.</w:t>
      </w:r>
      <w:r>
        <w:t xml:space="preserve"> </w:t>
      </w:r>
      <w:hyperlink r:id="rId24">
        <w:r>
          <w:rPr>
            <w:rStyle w:val="Hyperlink"/>
          </w:rPr>
          <w:t xml:space="preserve">[30]</w:t>
        </w:r>
      </w:hyperlink>
    </w:p>
    <w:p>
      <w:pPr>
        <w:pStyle w:val="BodyText"/>
      </w:pPr>
      <w:r>
        <w:t xml:space="preserve">The</w:t>
      </w:r>
      <w:r>
        <w:t xml:space="preserve"> </w:t>
      </w:r>
      <w:r>
        <w:rPr>
          <w:b/>
          <w:bCs/>
        </w:rPr>
        <w:t xml:space="preserve">policy language</w:t>
      </w:r>
      <w:r>
        <w:t xml:space="preserve"> </w:t>
      </w:r>
      <w:r>
        <w:t xml:space="preserve">should support hard rules, soft guidance and optimisation hints. Hard rules govern what is forbidden or approval-gated: cabin class, hotel rate ceilings, supplier restrictions, advance-purchase windows, payment-instrument requirements, per-destination safety restrictions, visa/document prompts and legal-entity allocation. Soft guidance covers preferred suppliers, recommended price bands, carbon-aware nudges, negotiated-rate preference, and “explain why this is better” messaging inside the booking flow. A travel policy product that only returns allow or deny is too weak for modern shopping experiences; it needs to support filter hints and ranked recommendations as well. This is an analytical conclusion, but it is consistent with how modern vendors describe flexible policies, booking restrictions, preferred suppliers and sustainability nudges.</w:t>
      </w:r>
      <w:r>
        <w:t xml:space="preserve"> </w:t>
      </w:r>
      <w:hyperlink r:id="rId34">
        <w:r>
          <w:rPr>
            <w:rStyle w:val="Hyperlink"/>
          </w:rPr>
          <w:t xml:space="preserve">[31]</w:t>
        </w:r>
      </w:hyperlink>
    </w:p>
    <w:p>
      <w:pPr>
        <w:pStyle w:val="BodyText"/>
      </w:pPr>
      <w:r>
        <w:t xml:space="preserve">The</w:t>
      </w:r>
      <w:r>
        <w:t xml:space="preserve"> </w:t>
      </w:r>
      <w:r>
        <w:rPr>
          <w:b/>
          <w:bCs/>
        </w:rPr>
        <w:t xml:space="preserve">approval engine</w:t>
      </w:r>
      <w:r>
        <w:t xml:space="preserve"> </w:t>
      </w:r>
      <w:r>
        <w:t xml:space="preserve">should support manager, budget-owner, project-owner, travel-risk and procurement approval paths; multi-level conditional routing; thresholds by amount, route type or traveller role; delegated approval; out-of-office fallback; automatic escalation; expiry; cancellation of stale requests; and approval after reprice if the booking changes materially. urlSerkoturn1search17 explicitly signals multi-level approvals and approval before ticketing, and urlSAP Concurturn0search0 signals out-of-policy routing and mobile approval. A new standalone entrant should go beyond both by making approval chains portable across booking tools and by letting customers simulate routing before they activate it.</w:t>
      </w:r>
      <w:r>
        <w:t xml:space="preserve"> </w:t>
      </w:r>
      <w:hyperlink r:id="rId42">
        <w:r>
          <w:rPr>
            <w:rStyle w:val="Hyperlink"/>
          </w:rPr>
          <w:t xml:space="preserve">[32]</w:t>
        </w:r>
      </w:hyperlink>
    </w:p>
    <w:p>
      <w:pPr>
        <w:pStyle w:val="BodyText"/>
      </w:pPr>
      <w:r>
        <w:rPr>
          <w:b/>
          <w:bCs/>
        </w:rPr>
        <w:t xml:space="preserve">Exception handling and overrides</w:t>
      </w:r>
      <w:r>
        <w:t xml:space="preserve"> </w:t>
      </w:r>
      <w:r>
        <w:t xml:space="preserve">should be first-class objects, not comment fields. Buyers need temporary waivers, event-based exceptions, route closures, disaster-response overrides, executive entitlements, and “break-glass” flows that permit travel but force post-hoc review. Every exception should be versioned, attributable to a person or system action, time-bounded, and queryable in reporting. This is directly supported by the category’s emphasis on configurability, legal-entity self-service and reporting.</w:t>
      </w:r>
      <w:r>
        <w:t xml:space="preserve"> </w:t>
      </w:r>
      <w:hyperlink r:id="rId34">
        <w:r>
          <w:rPr>
            <w:rStyle w:val="Hyperlink"/>
          </w:rPr>
          <w:t xml:space="preserve">[33]</w:t>
        </w:r>
      </w:hyperlink>
    </w:p>
    <w:p>
      <w:pPr>
        <w:pStyle w:val="BodyText"/>
      </w:pPr>
      <w:r>
        <w:rPr>
          <w:b/>
          <w:bCs/>
        </w:rPr>
        <w:t xml:space="preserve">Entitlements and negotiated rates</w:t>
      </w:r>
      <w:r>
        <w:t xml:space="preserve"> </w:t>
      </w:r>
      <w:r>
        <w:t xml:space="preserve">must include supplier agreements, traveller-status entitlements, corporate discount codes, programme eligibility by legal entity, and rate-display logic. urlSerkoturn1search0 explicitly markets negotiated rates and preferred suppliers; urlSpotnanaturn1search14 says its data model manages negotiated rates; and this is exactly the sort of logic enterprises and TMCs do not want hard-coded in each separate booking front end.</w:t>
      </w:r>
      <w:r>
        <w:t xml:space="preserve"> </w:t>
      </w:r>
      <w:hyperlink r:id="rId37">
        <w:r>
          <w:rPr>
            <w:rStyle w:val="Hyperlink"/>
          </w:rPr>
          <w:t xml:space="preserve">[34]</w:t>
        </w:r>
      </w:hyperlink>
    </w:p>
    <w:p>
      <w:pPr>
        <w:pStyle w:val="BodyText"/>
      </w:pPr>
      <w:r>
        <w:rPr>
          <w:b/>
          <w:bCs/>
        </w:rPr>
        <w:t xml:space="preserve">Payment-policy control</w:t>
      </w:r>
      <w:r>
        <w:t xml:space="preserve"> </w:t>
      </w:r>
      <w:r>
        <w:t xml:space="preserve">should be part of the policy decision itself. The decision response should be able to say not only “this booking is allowed”, but also “it must use payment profile X”, “hotel requires a virtual card”, “air may use central travel account”, “ancillaries can be split to traveller card”, or “this booking is denied because the merchant country is restricted”. Official vendor pages show this has become a real category expectation: emphasises built-in virtual cards and spend limits; supports a broad set of card and billing options; and supports virtual card creation and control, while warning that not every method of card retrieval is PCI-compliant.</w:t>
      </w:r>
      <w:r>
        <w:t xml:space="preserve"> </w:t>
      </w:r>
      <w:hyperlink r:id="rId43">
        <w:r>
          <w:rPr>
            <w:rStyle w:val="Hyperlink"/>
          </w:rPr>
          <w:t xml:space="preserve">[35]</w:t>
        </w:r>
      </w:hyperlink>
    </w:p>
    <w:p>
      <w:pPr>
        <w:pStyle w:val="BodyText"/>
      </w:pPr>
      <w:r>
        <w:rPr>
          <w:b/>
          <w:bCs/>
        </w:rPr>
        <w:t xml:space="preserve">Destination, ESG and legal-entity rules</w:t>
      </w:r>
      <w:r>
        <w:t xml:space="preserve"> </w:t>
      </w:r>
      <w:r>
        <w:t xml:space="preserve">matter more than many OBTs make obvious. The product should support rate caps by city or country, mandatory rail substitution on defined corridors, restrictions on red-eye or high-risk itineraries, per-destination safety briefings, emissions thresholds or carbon budgets, and separate policies by employing entity, billing entity, or tax establishment. This is not speculative: surfaces carbon budgets and emissions integrations, urlSerkoturn1search19 builds sustainability into the booking process, and sells different legal-entity limits by plan tier.</w:t>
      </w:r>
      <w:r>
        <w:t xml:space="preserve"> </w:t>
      </w:r>
      <w:hyperlink r:id="rId44">
        <w:r>
          <w:rPr>
            <w:rStyle w:val="Hyperlink"/>
          </w:rPr>
          <w:t xml:space="preserve">[36]</w:t>
        </w:r>
      </w:hyperlink>
    </w:p>
    <w:p>
      <w:pPr>
        <w:pStyle w:val="BodyText"/>
      </w:pPr>
      <w:r>
        <w:rPr>
          <w:b/>
          <w:bCs/>
        </w:rPr>
        <w:t xml:space="preserve">Multi-currency, VAT and reporting</w:t>
      </w:r>
      <w:r>
        <w:t xml:space="preserve"> </w:t>
      </w:r>
      <w:r>
        <w:t xml:space="preserve">should be planned in the core model, not treated as reporting extras. Costs need source-currency, policy-currency and settlement-currency fields; approvals may need both local and reporting currency thresholds; VAT recovery needs invoice linkage, jurisdiction codes and recoverability flags; and BI needs both operational metrics and finance-grade extracts. explicitly ties centralised invoicing, legal-entity allocation and VAT-ready reporting together, and markets VAT recovery as a meaningful value lever.</w:t>
      </w:r>
      <w:r>
        <w:t xml:space="preserve"> </w:t>
      </w:r>
      <w:hyperlink r:id="rId45">
        <w:r>
          <w:rPr>
            <w:rStyle w:val="Hyperlink"/>
          </w:rPr>
          <w:t xml:space="preserve">[37]</w:t>
        </w:r>
      </w:hyperlink>
    </w:p>
    <w:bookmarkEnd w:id="46"/>
    <w:bookmarkStart w:id="57" w:name="X22066ff52b95fac79f802113f59e13d293767cc"/>
    <w:p>
      <w:pPr>
        <w:pStyle w:val="Heading2"/>
      </w:pPr>
      <w:r>
        <w:t xml:space="preserve">Technical design and integration architecture</w:t>
      </w:r>
    </w:p>
    <w:p>
      <w:pPr>
        <w:pStyle w:val="FirstParagraph"/>
      </w:pPr>
      <w:r>
        <w:t xml:space="preserve">The foundational technical choice is to build a</w:t>
      </w:r>
      <w:r>
        <w:t xml:space="preserve"> </w:t>
      </w:r>
      <w:r>
        <w:rPr>
          <w:b/>
          <w:bCs/>
        </w:rPr>
        <w:t xml:space="preserve">canonical policy model that is independent of any single booking representation</w:t>
      </w:r>
      <w:r>
        <w:t xml:space="preserve">. That means the system of record should not be primarily keyed off a GDS PNR, because airline distribution is moving towards offer and order models. International Air Transport Association</w:t>
      </w:r>
      <w:hyperlink r:id="rId29">
        <w:r>
          <w:rPr>
            <w:rStyle w:val="Hyperlink"/>
          </w:rPr>
          <w:t xml:space="preserve">[38]</w:t>
        </w:r>
      </w:hyperlink>
      <w:r>
        <w:t xml:space="preserve"> </w:t>
      </w:r>
      <w:r>
        <w:t xml:space="preserve">defines NDC as an offers-and-orders distribution model and says ONE Order creates a single integrated customer record for fulfilment, delivery and accounting. urlSpotnanaturn1search14 independently makes the same strategic point by saying its order management is independent of the PNR. A new standalone policy product should therefore issue its own immutable</w:t>
      </w:r>
      <w:r>
        <w:t xml:space="preserve"> </w:t>
      </w:r>
      <w:r>
        <w:rPr>
          <w:rStyle w:val="VerbatimChar"/>
        </w:rPr>
        <w:t xml:space="preserve">trip_id</w:t>
      </w:r>
      <w:r>
        <w:t xml:space="preserve">,</w:t>
      </w:r>
      <w:r>
        <w:t xml:space="preserve"> </w:t>
      </w:r>
      <w:r>
        <w:rPr>
          <w:rStyle w:val="VerbatimChar"/>
        </w:rPr>
        <w:t xml:space="preserve">decision_id</w:t>
      </w:r>
      <w:r>
        <w:t xml:space="preserve"> </w:t>
      </w:r>
      <w:r>
        <w:t xml:space="preserve">and</w:t>
      </w:r>
      <w:r>
        <w:t xml:space="preserve"> </w:t>
      </w:r>
      <w:r>
        <w:rPr>
          <w:rStyle w:val="VerbatimChar"/>
        </w:rPr>
        <w:t xml:space="preserve">approval_id</w:t>
      </w:r>
      <w:r>
        <w:t xml:space="preserve">, while storing external references such as PNRs, order IDs, booking IDs, invoice IDs and card transaction IDs as related identifiers only.</w:t>
      </w:r>
      <w:r>
        <w:t xml:space="preserve"> </w:t>
      </w:r>
      <w:hyperlink r:id="rId47">
        <w:r>
          <w:rPr>
            <w:rStyle w:val="Hyperlink"/>
          </w:rPr>
          <w:t xml:space="preserve">[39]</w:t>
        </w:r>
      </w:hyperlink>
    </w:p>
    <w:p>
      <w:pPr>
        <w:pStyle w:val="BodyText"/>
      </w:pPr>
      <w:r>
        <w:t xml:space="preserve">The best runtime pattern is a</w:t>
      </w:r>
      <w:r>
        <w:t xml:space="preserve"> </w:t>
      </w:r>
      <w:r>
        <w:rPr>
          <w:b/>
          <w:bCs/>
        </w:rPr>
        <w:t xml:space="preserve">split decision architecture</w:t>
      </w:r>
      <w:r>
        <w:t xml:space="preserve">. Synchronous calls serve search-time and book-time policy checks where latency must be low and deterministic. Asynchronous workflows serve approval routing, revalidation after price changes, finance checks, and post-book reconciliation. The product should expose at least three public surfaces: a decision API; an approvals/workflow API; and a webhook/event layer for downstream systems. That pattern aligns with how modern travel platforms describe open integrations via APIs, webhooks, direct integrations and transformers, and how identity standards separate authentication from provisioning.</w:t>
      </w:r>
      <w:r>
        <w:t xml:space="preserve"> </w:t>
      </w:r>
      <w:hyperlink r:id="rId25">
        <w:r>
          <w:rPr>
            <w:rStyle w:val="Hyperlink"/>
          </w:rPr>
          <w:t xml:space="preserve">[40]</w:t>
        </w:r>
      </w:hyperlink>
    </w:p>
    <w:p>
      <w:pPr>
        <w:pStyle w:val="SourceCode"/>
      </w:pPr>
      <w:r>
        <w:rPr>
          <w:rStyle w:val="VerbatimChar"/>
        </w:rPr>
        <w:t xml:space="preserve">flowchart LR</w:t>
      </w:r>
      <w:r>
        <w:br/>
      </w:r>
      <w:r>
        <w:rPr>
          <w:rStyle w:val="VerbatimChar"/>
        </w:rPr>
        <w:t xml:space="preserve">    B[Booking tool / TMC desktop / mobile app] --&gt; D[Policy Decision API]</w:t>
      </w:r>
      <w:r>
        <w:br/>
      </w:r>
      <w:r>
        <w:rPr>
          <w:rStyle w:val="VerbatimChar"/>
        </w:rPr>
        <w:t xml:space="preserve">    I[HRIS / IdP / Admin UI] --&gt; P[Profile + Entitlement Service]</w:t>
      </w:r>
      <w:r>
        <w:br/>
      </w:r>
      <w:r>
        <w:rPr>
          <w:rStyle w:val="VerbatimChar"/>
        </w:rPr>
        <w:t xml:space="preserve">    P --&gt; D</w:t>
      </w:r>
      <w:r>
        <w:br/>
      </w:r>
      <w:r>
        <w:rPr>
          <w:rStyle w:val="VerbatimChar"/>
        </w:rPr>
        <w:t xml:space="preserve">    D --&gt; C[Canonical Policy Engine]</w:t>
      </w:r>
      <w:r>
        <w:br/>
      </w:r>
      <w:r>
        <w:rPr>
          <w:rStyle w:val="VerbatimChar"/>
        </w:rPr>
        <w:t xml:space="preserve">    C --&gt; R[Decision Result]</w:t>
      </w:r>
      <w:r>
        <w:br/>
      </w:r>
      <w:r>
        <w:br/>
      </w:r>
      <w:r>
        <w:rPr>
          <w:rStyle w:val="VerbatimChar"/>
        </w:rPr>
        <w:t xml:space="preserve">    R --&gt;|allow / warn| B</w:t>
      </w:r>
      <w:r>
        <w:br/>
      </w:r>
      <w:r>
        <w:rPr>
          <w:rStyle w:val="VerbatimChar"/>
        </w:rPr>
        <w:t xml:space="preserve">    R --&gt;|requires approval| A[Approval Workflow Service]</w:t>
      </w:r>
      <w:r>
        <w:br/>
      </w:r>
      <w:r>
        <w:rPr>
          <w:rStyle w:val="VerbatimChar"/>
        </w:rPr>
        <w:t xml:space="preserve">    A --&gt; U[Approver / delegate]</w:t>
      </w:r>
      <w:r>
        <w:br/>
      </w:r>
      <w:r>
        <w:rPr>
          <w:rStyle w:val="VerbatimChar"/>
        </w:rPr>
        <w:t xml:space="preserve">    U --&gt; A</w:t>
      </w:r>
      <w:r>
        <w:br/>
      </w:r>
      <w:r>
        <w:rPr>
          <w:rStyle w:val="VerbatimChar"/>
        </w:rPr>
        <w:t xml:space="preserve">    A --&gt; W[Webhook callbacks to booking tool / TMC / PSP / ERP]</w:t>
      </w:r>
      <w:r>
        <w:br/>
      </w:r>
      <w:r>
        <w:br/>
      </w:r>
      <w:r>
        <w:rPr>
          <w:rStyle w:val="VerbatimChar"/>
        </w:rPr>
        <w:t xml:space="preserve">    B --&gt; E[Booking confirmed / changed / cancelled]</w:t>
      </w:r>
      <w:r>
        <w:br/>
      </w:r>
      <w:r>
        <w:rPr>
          <w:rStyle w:val="VerbatimChar"/>
        </w:rPr>
        <w:t xml:space="preserve">    E --&gt; N[Normalisation + Audit Ledger]</w:t>
      </w:r>
      <w:r>
        <w:br/>
      </w:r>
      <w:r>
        <w:rPr>
          <w:rStyle w:val="VerbatimChar"/>
        </w:rPr>
        <w:t xml:space="preserve">    W --&gt; N</w:t>
      </w:r>
      <w:r>
        <w:br/>
      </w:r>
      <w:r>
        <w:rPr>
          <w:rStyle w:val="VerbatimChar"/>
        </w:rPr>
        <w:t xml:space="preserve">    N --&gt; BI[Reporting / BI / compliance exports]</w:t>
      </w:r>
    </w:p>
    <w:bookmarkStart w:id="51" w:name="recommended-policy-engine-design"/>
    <w:p>
      <w:pPr>
        <w:pStyle w:val="Heading3"/>
      </w:pPr>
      <w:r>
        <w:t xml:space="preserve">Recommended policy-engine design</w:t>
      </w:r>
    </w:p>
    <w:p>
      <w:pPr>
        <w:pStyle w:val="FirstParagraph"/>
      </w:pPr>
      <w:r>
        <w:t xml:space="preserve">The strongest design is a</w:t>
      </w:r>
      <w:r>
        <w:t xml:space="preserve"> </w:t>
      </w:r>
      <w:r>
        <w:rPr>
          <w:b/>
          <w:bCs/>
        </w:rPr>
        <w:t xml:space="preserve">customer-facing DSL plus UI</w:t>
      </w:r>
      <w:r>
        <w:t xml:space="preserve">, compiled into an executable policy graph. The UI should let admins model traveller groups, legal entities, route classes, thresholds, entitlements, cost objects and exception windows without writing code. Under the surface, the engine should compile those rules into a deterministic format with explicit precedence and versioning. This gives you the usability of SaaS and the reliability of policy-as-code.</w:t>
      </w:r>
      <w:r>
        <w:t xml:space="preserve"> </w:t>
      </w:r>
      <w:hyperlink r:id="rId48">
        <w:r>
          <w:rPr>
            <w:rStyle w:val="Hyperlink"/>
          </w:rPr>
          <w:t xml:space="preserve">[41]</w:t>
        </w:r>
      </w:hyperlink>
    </w:p>
    <w:p>
      <w:pPr>
        <w:pStyle w:val="BodyText"/>
      </w:pPr>
      <w:r>
        <w:t xml:space="preserve">For the execution layer, my recommendation is:</w:t>
      </w:r>
    </w:p>
    <w:p>
      <w:pPr>
        <w:pStyle w:val="Compact"/>
        <w:numPr>
          <w:ilvl w:val="0"/>
          <w:numId w:val="1001"/>
        </w:numPr>
      </w:pPr>
      <w:r>
        <w:t xml:space="preserve">use</w:t>
      </w:r>
      <w:r>
        <w:t xml:space="preserve"> </w:t>
      </w:r>
      <w:r>
        <w:rPr>
          <w:b/>
          <w:bCs/>
        </w:rPr>
        <w:t xml:space="preserve">custom canonical policy objects</w:t>
      </w:r>
      <w:r>
        <w:t xml:space="preserve"> </w:t>
      </w:r>
      <w:r>
        <w:t xml:space="preserve">as the source of truth;</w:t>
      </w:r>
    </w:p>
    <w:p>
      <w:pPr>
        <w:pStyle w:val="Compact"/>
        <w:numPr>
          <w:ilvl w:val="0"/>
          <w:numId w:val="1001"/>
        </w:numPr>
      </w:pPr>
      <w:r>
        <w:t xml:space="preserve">use</w:t>
      </w:r>
      <w:r>
        <w:t xml:space="preserve"> </w:t>
      </w:r>
      <w:r>
        <w:rPr>
          <w:b/>
          <w:bCs/>
        </w:rPr>
        <w:t xml:space="preserve">Open Policy Agent</w:t>
      </w:r>
      <w:hyperlink r:id="rId25">
        <w:r>
          <w:rPr>
            <w:rStyle w:val="Hyperlink"/>
            <w:b/>
            <w:bCs/>
          </w:rPr>
          <w:t xml:space="preserve">[5]</w:t>
        </w:r>
      </w:hyperlink>
      <w:r>
        <w:t xml:space="preserve"> </w:t>
      </w:r>
      <w:r>
        <w:t xml:space="preserve">for rich decisioning, testing, bundles, decision logs and low-latency optimisation where appropriate; and</w:t>
      </w:r>
    </w:p>
    <w:p>
      <w:pPr>
        <w:pStyle w:val="Compact"/>
        <w:numPr>
          <w:ilvl w:val="0"/>
          <w:numId w:val="1001"/>
        </w:numPr>
      </w:pPr>
      <w:r>
        <w:t xml:space="preserve">use</w:t>
      </w:r>
      <w:r>
        <w:t xml:space="preserve"> </w:t>
      </w:r>
      <w:r>
        <w:rPr>
          <w:b/>
          <w:bCs/>
        </w:rPr>
        <w:t xml:space="preserve">Cedar</w:t>
      </w:r>
      <w:hyperlink r:id="rId26">
        <w:r>
          <w:rPr>
            <w:rStyle w:val="Hyperlink"/>
            <w:b/>
            <w:bCs/>
          </w:rPr>
          <w:t xml:space="preserve">[6]</w:t>
        </w:r>
      </w:hyperlink>
      <w:r>
        <w:t xml:space="preserve"> </w:t>
      </w:r>
      <w:r>
        <w:t xml:space="preserve">mainly for internal admin authorisation and entitlement checks, not as the primary travel-policy language.</w:t>
      </w:r>
      <w:r>
        <w:t xml:space="preserve"> </w:t>
      </w:r>
      <w:hyperlink r:id="rId48">
        <w:r>
          <w:rPr>
            <w:rStyle w:val="Hyperlink"/>
          </w:rPr>
          <w:t xml:space="preserve">[42]</w:t>
        </w:r>
      </w:hyperlink>
    </w:p>
    <w:p>
      <w:pPr>
        <w:pStyle w:val="FirstParagraph"/>
      </w:pPr>
      <w:r>
        <w:t xml:space="preserve">That recommendation follows from the official documentation. OPA explicitly provides policy-as-code, REST APIs, bundles, unit testing, decision logs, CI/CD use cases and partial evaluation. Cedar explicitly models authorisation as principal, action, resource and context, with permit/forbid semantics where forbid overrides permit. Cedar is elegant for access control. Travel policy, however, usually needs richer arithmetic, rate comparisons, traveller-category logic, thresholding, simulation and recommendation semantics than a pure allow/deny authorisation model. That is why I would use Cedar for the product’s own admin security model and OPA-like logic for the buyer-facing travel-policy engine. This is an architectural judgement, not a standard.</w:t>
      </w:r>
      <w:r>
        <w:t xml:space="preserve"> </w:t>
      </w:r>
      <w:hyperlink r:id="rId48">
        <w:r>
          <w:rPr>
            <w:rStyle w:val="Hyperlink"/>
          </w:rPr>
          <w:t xml:space="preserve">[43]</w:t>
        </w:r>
      </w:hyperlink>
    </w:p>
    <w:p>
      <w:pPr>
        <w:pStyle w:val="BodyText"/>
      </w:pPr>
      <w:r>
        <w:t xml:space="preserve">The engine should also support</w:t>
      </w:r>
      <w:r>
        <w:t xml:space="preserve"> </w:t>
      </w:r>
      <w:r>
        <w:rPr>
          <w:b/>
          <w:bCs/>
        </w:rPr>
        <w:t xml:space="preserve">simulation and testing</w:t>
      </w:r>
      <w:r>
        <w:t xml:space="preserve"> </w:t>
      </w:r>
      <w:r>
        <w:t xml:space="preserve">as a first-class product feature. That means regression tests for each policy set, replay against historical bookings, “what changed between version A and B”, and dry-run mode before activation. OPA’s testing and decision-log features are especially useful for supporting this kind of governance workflow. If you do not ship simulation, enterprise buyers will trust configuration changes less than they trust incumbent suites.</w:t>
      </w:r>
      <w:r>
        <w:t xml:space="preserve"> </w:t>
      </w:r>
      <w:hyperlink r:id="rId49">
        <w:r>
          <w:rPr>
            <w:rStyle w:val="Hyperlink"/>
          </w:rPr>
          <w:t xml:space="preserve">[44]</w:t>
        </w:r>
      </w:hyperlink>
    </w:p>
    <w:p>
      <w:pPr>
        <w:pStyle w:val="BodyText"/>
      </w:pPr>
      <w:r>
        <w:t xml:space="preserve">A particularly strong design pattern is to use</w:t>
      </w:r>
      <w:r>
        <w:t xml:space="preserve"> </w:t>
      </w:r>
      <w:r>
        <w:rPr>
          <w:b/>
          <w:bCs/>
        </w:rPr>
        <w:t xml:space="preserve">search-time filter hints</w:t>
      </w:r>
      <w:r>
        <w:t xml:space="preserve"> </w:t>
      </w:r>
      <w:r>
        <w:t xml:space="preserve">derived from policy rather than evaluating only at the end of the flow. OPA’s partial-evaluation model is relevant here because it can precompute what is known and leave only the unknowns for runtime. In practice, that means policy can help the booking tool pre-filter cabins, preferred suppliers or hotel price bands before the traveller ever clicks a result. That reduces friction and makes compliance feel native rather than punitive.</w:t>
      </w:r>
      <w:r>
        <w:t xml:space="preserve"> </w:t>
      </w:r>
      <w:hyperlink r:id="rId50">
        <w:r>
          <w:rPr>
            <w:rStyle w:val="Hyperlink"/>
          </w:rPr>
          <w:t xml:space="preserve">[45]</w:t>
        </w:r>
      </w:hyperlink>
    </w:p>
    <w:bookmarkEnd w:id="51"/>
    <w:bookmarkStart w:id="55" w:name="identity-kiro-and-aws"/>
    <w:p>
      <w:pPr>
        <w:pStyle w:val="Heading3"/>
      </w:pPr>
      <w:r>
        <w:t xml:space="preserve">Identity, Kiro and AWS</w:t>
      </w:r>
    </w:p>
    <w:p>
      <w:pPr>
        <w:pStyle w:val="FirstParagraph"/>
      </w:pPr>
      <w:r>
        <w:t xml:space="preserve">Identity and lifecycle should be built on standards from day one. OASIS</w:t>
      </w:r>
      <w:hyperlink r:id="rId32">
        <w:r>
          <w:rPr>
            <w:rStyle w:val="Hyperlink"/>
          </w:rPr>
          <w:t xml:space="preserve">[46]</w:t>
        </w:r>
      </w:hyperlink>
      <w:r>
        <w:t xml:space="preserve"> </w:t>
      </w:r>
      <w:r>
        <w:t xml:space="preserve">documents SAML as a framework for exchanging security information and web single sign-on; the OpenID Foundation</w:t>
      </w:r>
      <w:hyperlink r:id="rId24">
        <w:r>
          <w:rPr>
            <w:rStyle w:val="Hyperlink"/>
          </w:rPr>
          <w:t xml:space="preserve">[47]</w:t>
        </w:r>
      </w:hyperlink>
      <w:r>
        <w:t xml:space="preserve"> </w:t>
      </w:r>
      <w:r>
        <w:t xml:space="preserve">defines OIDC as an identity layer on top of OAuth 2.0; and the Internet Engineering Task Force</w:t>
      </w:r>
      <w:hyperlink r:id="rId24">
        <w:r>
          <w:rPr>
            <w:rStyle w:val="Hyperlink"/>
          </w:rPr>
          <w:t xml:space="preserve">[48]</w:t>
        </w:r>
      </w:hyperlink>
      <w:r>
        <w:t xml:space="preserve"> </w:t>
      </w:r>
      <w:r>
        <w:t xml:space="preserve">SCIM specification defines an HTTP-based standard for identity provisioning in multi-domain scenarios. This is exactly the trio buyers expect for enterprise SaaS: SAML and OIDC for access, SCIM for lifecycle, and direct HRIS integration or SFTP where SCIM is unavailable.</w:t>
      </w:r>
      <w:r>
        <w:t xml:space="preserve"> </w:t>
      </w:r>
      <w:hyperlink r:id="rId52">
        <w:r>
          <w:rPr>
            <w:rStyle w:val="Hyperlink"/>
          </w:rPr>
          <w:t xml:space="preserve">[49]</w:t>
        </w:r>
      </w:hyperlink>
    </w:p>
    <w:p>
      <w:pPr>
        <w:pStyle w:val="BodyText"/>
      </w:pPr>
      <w:r>
        <w:t xml:space="preserve">For build and runtime, the cleanest low-headcount stack is:</w:t>
      </w:r>
    </w:p>
    <w:p>
      <w:pPr>
        <w:pStyle w:val="Compact"/>
        <w:numPr>
          <w:ilvl w:val="0"/>
          <w:numId w:val="1002"/>
        </w:numPr>
      </w:pPr>
      <w:r>
        <w:t xml:space="preserve">urlKiroturn3search15 for spec-driven development, steering, hooks and powers;</w:t>
      </w:r>
    </w:p>
    <w:p>
      <w:pPr>
        <w:pStyle w:val="Compact"/>
        <w:numPr>
          <w:ilvl w:val="0"/>
          <w:numId w:val="1002"/>
        </w:numPr>
      </w:pPr>
      <w:r>
        <w:t xml:space="preserve">API Gateway plus Lambda for stateless decision endpoints;</w:t>
      </w:r>
    </w:p>
    <w:p>
      <w:pPr>
        <w:pStyle w:val="Compact"/>
        <w:numPr>
          <w:ilvl w:val="0"/>
          <w:numId w:val="1002"/>
        </w:numPr>
      </w:pPr>
      <w:r>
        <w:t xml:space="preserve">Step Functions for approval orchestration and long-running workflows;</w:t>
      </w:r>
    </w:p>
    <w:p>
      <w:pPr>
        <w:pStyle w:val="Compact"/>
        <w:numPr>
          <w:ilvl w:val="0"/>
          <w:numId w:val="1002"/>
        </w:numPr>
      </w:pPr>
      <w:r>
        <w:t xml:space="preserve">EventBridge for event fan-out;</w:t>
      </w:r>
    </w:p>
    <w:p>
      <w:pPr>
        <w:pStyle w:val="Compact"/>
        <w:numPr>
          <w:ilvl w:val="0"/>
          <w:numId w:val="1002"/>
        </w:numPr>
      </w:pPr>
      <w:r>
        <w:t xml:space="preserve">Aurora Serverless for transactional state and versioned policy metadata;</w:t>
      </w:r>
    </w:p>
    <w:p>
      <w:pPr>
        <w:pStyle w:val="Compact"/>
        <w:numPr>
          <w:ilvl w:val="0"/>
          <w:numId w:val="1002"/>
        </w:numPr>
      </w:pPr>
      <w:r>
        <w:t xml:space="preserve">Cognito for federation with tenant IdPs using SAML and OIDC;</w:t>
      </w:r>
    </w:p>
    <w:p>
      <w:pPr>
        <w:pStyle w:val="Compact"/>
        <w:numPr>
          <w:ilvl w:val="0"/>
          <w:numId w:val="1002"/>
        </w:numPr>
      </w:pPr>
      <w:r>
        <w:t xml:space="preserve">CloudTrail for admin and platform auditability; and</w:t>
      </w:r>
    </w:p>
    <w:p>
      <w:pPr>
        <w:pStyle w:val="Compact"/>
        <w:numPr>
          <w:ilvl w:val="0"/>
          <w:numId w:val="1002"/>
        </w:numPr>
      </w:pPr>
      <w:r>
        <w:t xml:space="preserve">QuickSight for embedded reporting and internal BI.</w:t>
      </w:r>
      <w:r>
        <w:t xml:space="preserve"> </w:t>
      </w:r>
      <w:hyperlink r:id="rId26">
        <w:r>
          <w:rPr>
            <w:rStyle w:val="Hyperlink"/>
          </w:rPr>
          <w:t xml:space="preserve">[50]</w:t>
        </w:r>
      </w:hyperlink>
    </w:p>
    <w:p>
      <w:pPr>
        <w:pStyle w:val="FirstParagraph"/>
      </w:pPr>
      <w:r>
        <w:t xml:space="preserve">Kiro is especially well suited to this product class because the domain is dense with repeatable conventions: policy object schemas, audit fields, test matrices, decision reasons, webhook contracts, and tenant-isolation rules. Kiro’s steering files are useful for encoding those conventions, hooks are useful for automatically running schema checks and regression tests, and powers are useful for packaging repeatable internal tooling for domain work. The constraint is that Kiro accelerates disciplined engineering; it does not replace the need for explicit policy governance, security review and domain QA.</w:t>
      </w:r>
      <w:r>
        <w:t xml:space="preserve"> </w:t>
      </w:r>
      <w:hyperlink r:id="rId53">
        <w:r>
          <w:rPr>
            <w:rStyle w:val="Hyperlink"/>
          </w:rPr>
          <w:t xml:space="preserve">[51]</w:t>
        </w:r>
      </w:hyperlink>
    </w:p>
    <w:p>
      <w:pPr>
        <w:pStyle w:val="BodyText"/>
      </w:pPr>
      <w:r>
        <w:t xml:space="preserve">For IaC and CI/CD, I would use Terraform</w:t>
      </w:r>
      <w:hyperlink r:id="rId31">
        <w:r>
          <w:rPr>
            <w:rStyle w:val="Hyperlink"/>
          </w:rPr>
          <w:t xml:space="preserve">[52]</w:t>
        </w:r>
      </w:hyperlink>
      <w:r>
        <w:t xml:space="preserve"> </w:t>
      </w:r>
      <w:r>
        <w:t xml:space="preserve">for repeatable multi-environment infrastructure and GitHub Actions with OIDC into AWS for deployment, because GitHub’s official guidance and AWS prescriptive guidance both show how to avoid long-lived cloud credentials by federating via OIDC.</w:t>
      </w:r>
      <w:r>
        <w:t xml:space="preserve"> </w:t>
      </w:r>
      <w:hyperlink r:id="rId54">
        <w:r>
          <w:rPr>
            <w:rStyle w:val="Hyperlink"/>
          </w:rPr>
          <w:t xml:space="preserve">[53]</w:t>
        </w:r>
      </w:hyperlink>
    </w:p>
    <w:bookmarkEnd w:id="55"/>
    <w:bookmarkStart w:id="56" w:name="recommended-policy-decision-api-contract"/>
    <w:p>
      <w:pPr>
        <w:pStyle w:val="Heading3"/>
      </w:pPr>
      <w:r>
        <w:t xml:space="preserve">Recommended policy decision API contract</w:t>
      </w:r>
    </w:p>
    <w:p>
      <w:pPr>
        <w:pStyle w:val="FirstParagraph"/>
      </w:pPr>
      <w:r>
        <w:t xml:space="preserve">A concise contract for a synchronous decision endpoint should look like this:</w:t>
      </w:r>
    </w:p>
    <w:p>
      <w:pPr>
        <w:pStyle w:val="SourceCode"/>
      </w:pPr>
      <w:r>
        <w:rPr>
          <w:rStyle w:val="VerbatimChar"/>
        </w:rPr>
        <w:t xml:space="preserve">{</w:t>
      </w:r>
      <w:r>
        <w:br/>
      </w:r>
      <w:r>
        <w:rPr>
          <w:rStyle w:val="VerbatimChar"/>
        </w:rPr>
        <w:t xml:space="preserve">  "$id": "https://example.com/schemas/policy-decision.json",</w:t>
      </w:r>
      <w:r>
        <w:br/>
      </w:r>
      <w:r>
        <w:rPr>
          <w:rStyle w:val="VerbatimChar"/>
        </w:rPr>
        <w:t xml:space="preserve">  "type": "object",</w:t>
      </w:r>
      <w:r>
        <w:br/>
      </w:r>
      <w:r>
        <w:rPr>
          <w:rStyle w:val="VerbatimChar"/>
        </w:rPr>
        <w:t xml:space="preserve">  "required": ["tenantId", "decisionPoint", "traveller", "trip", "offers"],</w:t>
      </w:r>
      <w:r>
        <w:br/>
      </w:r>
      <w:r>
        <w:rPr>
          <w:rStyle w:val="VerbatimChar"/>
        </w:rPr>
        <w:t xml:space="preserve">  "properties": {</w:t>
      </w:r>
      <w:r>
        <w:br/>
      </w:r>
      <w:r>
        <w:rPr>
          <w:rStyle w:val="VerbatimChar"/>
        </w:rPr>
        <w:t xml:space="preserve">    "tenantId": { "type": "string" },</w:t>
      </w:r>
      <w:r>
        <w:br/>
      </w:r>
      <w:r>
        <w:rPr>
          <w:rStyle w:val="VerbatimChar"/>
        </w:rPr>
        <w:t xml:space="preserve">    "policyVersion": { "type": "string" },</w:t>
      </w:r>
      <w:r>
        <w:br/>
      </w:r>
      <w:r>
        <w:rPr>
          <w:rStyle w:val="VerbatimChar"/>
        </w:rPr>
        <w:t xml:space="preserve">    "decisionPoint": {</w:t>
      </w:r>
      <w:r>
        <w:br/>
      </w:r>
      <w:r>
        <w:rPr>
          <w:rStyle w:val="VerbatimChar"/>
        </w:rPr>
        <w:t xml:space="preserve">      "type": "string",</w:t>
      </w:r>
      <w:r>
        <w:br/>
      </w:r>
      <w:r>
        <w:rPr>
          <w:rStyle w:val="VerbatimChar"/>
        </w:rPr>
        <w:t xml:space="preserve">      "enum": ["search", "pre_book", "post_book", "exchange", "refund"]</w:t>
      </w:r>
      <w:r>
        <w:br/>
      </w:r>
      <w:r>
        <w:rPr>
          <w:rStyle w:val="VerbatimChar"/>
        </w:rPr>
        <w:t xml:space="preserve">    },</w:t>
      </w:r>
      <w:r>
        <w:br/>
      </w:r>
      <w:r>
        <w:rPr>
          <w:rStyle w:val="VerbatimChar"/>
        </w:rPr>
        <w:t xml:space="preserve">    "traveller": {</w:t>
      </w:r>
      <w:r>
        <w:br/>
      </w:r>
      <w:r>
        <w:rPr>
          <w:rStyle w:val="VerbatimChar"/>
        </w:rPr>
        <w:t xml:space="preserve">      "type": "object",</w:t>
      </w:r>
      <w:r>
        <w:br/>
      </w:r>
      <w:r>
        <w:rPr>
          <w:rStyle w:val="VerbatimChar"/>
        </w:rPr>
        <w:t xml:space="preserve">      "required": ["id", "homeCountry", "legalEntityId"],</w:t>
      </w:r>
      <w:r>
        <w:br/>
      </w:r>
      <w:r>
        <w:rPr>
          <w:rStyle w:val="VerbatimChar"/>
        </w:rPr>
        <w:t xml:space="preserve">      "properties": {</w:t>
      </w:r>
      <w:r>
        <w:br/>
      </w:r>
      <w:r>
        <w:rPr>
          <w:rStyle w:val="VerbatimChar"/>
        </w:rPr>
        <w:t xml:space="preserve">        "id": { "type": "string" },</w:t>
      </w:r>
      <w:r>
        <w:br/>
      </w:r>
      <w:r>
        <w:rPr>
          <w:rStyle w:val="VerbatimChar"/>
        </w:rPr>
        <w:t xml:space="preserve">        "managerId": { "type": "string" },</w:t>
      </w:r>
      <w:r>
        <w:br/>
      </w:r>
      <w:r>
        <w:rPr>
          <w:rStyle w:val="VerbatimChar"/>
        </w:rPr>
        <w:t xml:space="preserve">        "role": { "type": "string" },</w:t>
      </w:r>
      <w:r>
        <w:br/>
      </w:r>
      <w:r>
        <w:rPr>
          <w:rStyle w:val="VerbatimChar"/>
        </w:rPr>
        <w:t xml:space="preserve">        "grade": { "type": "string" },</w:t>
      </w:r>
      <w:r>
        <w:br/>
      </w:r>
      <w:r>
        <w:rPr>
          <w:rStyle w:val="VerbatimChar"/>
        </w:rPr>
        <w:t xml:space="preserve">        "department": { "type": "string" },</w:t>
      </w:r>
      <w:r>
        <w:br/>
      </w:r>
      <w:r>
        <w:rPr>
          <w:rStyle w:val="VerbatimChar"/>
        </w:rPr>
        <w:t xml:space="preserve">        "costCentre": { "type": "string" },</w:t>
      </w:r>
      <w:r>
        <w:br/>
      </w:r>
      <w:r>
        <w:rPr>
          <w:rStyle w:val="VerbatimChar"/>
        </w:rPr>
        <w:t xml:space="preserve">        "legalEntityId": { "type": "string" },</w:t>
      </w:r>
      <w:r>
        <w:br/>
      </w:r>
      <w:r>
        <w:rPr>
          <w:rStyle w:val="VerbatimChar"/>
        </w:rPr>
        <w:t xml:space="preserve">        "entitlements":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"trip": {</w:t>
      </w:r>
      <w:r>
        <w:br/>
      </w:r>
      <w:r>
        <w:rPr>
          <w:rStyle w:val="VerbatimChar"/>
        </w:rPr>
        <w:t xml:space="preserve">      "type": "object",</w:t>
      </w:r>
      <w:r>
        <w:br/>
      </w:r>
      <w:r>
        <w:rPr>
          <w:rStyle w:val="VerbatimChar"/>
        </w:rPr>
        <w:t xml:space="preserve">      "required": ["origin", "destination", "startDate", "purpose"],</w:t>
      </w:r>
      <w:r>
        <w:br/>
      </w:r>
      <w:r>
        <w:rPr>
          <w:rStyle w:val="VerbatimChar"/>
        </w:rPr>
        <w:t xml:space="preserve">      "properties": {</w:t>
      </w:r>
      <w:r>
        <w:br/>
      </w:r>
      <w:r>
        <w:rPr>
          <w:rStyle w:val="VerbatimChar"/>
        </w:rPr>
        <w:t xml:space="preserve">        "origin": { "type": "string" },</w:t>
      </w:r>
      <w:r>
        <w:br/>
      </w:r>
      <w:r>
        <w:rPr>
          <w:rStyle w:val="VerbatimChar"/>
        </w:rPr>
        <w:t xml:space="preserve">        "destination": { "type": "string" },</w:t>
      </w:r>
      <w:r>
        <w:br/>
      </w:r>
      <w:r>
        <w:rPr>
          <w:rStyle w:val="VerbatimChar"/>
        </w:rPr>
        <w:t xml:space="preserve">        "startDate": { "type": "string", "format": "date" },</w:t>
      </w:r>
      <w:r>
        <w:br/>
      </w:r>
      <w:r>
        <w:rPr>
          <w:rStyle w:val="VerbatimChar"/>
        </w:rPr>
        <w:t xml:space="preserve">        "endDate": { "type": "string", "format": "date" },</w:t>
      </w:r>
      <w:r>
        <w:br/>
      </w:r>
      <w:r>
        <w:rPr>
          <w:rStyle w:val="VerbatimChar"/>
        </w:rPr>
        <w:t xml:space="preserve">        "purpose": { "type": "string" },</w:t>
      </w:r>
      <w:r>
        <w:br/>
      </w:r>
      <w:r>
        <w:rPr>
          <w:rStyle w:val="VerbatimChar"/>
        </w:rPr>
        <w:t xml:space="preserve">        "projectCode": { "type": "string" },</w:t>
      </w:r>
      <w:r>
        <w:br/>
      </w:r>
      <w:r>
        <w:rPr>
          <w:rStyle w:val="VerbatimChar"/>
        </w:rPr>
        <w:t xml:space="preserve">        "riskTier": { "type": "string" }</w:t>
      </w:r>
      <w:r>
        <w:br/>
      </w:r>
      <w:r>
        <w:rPr>
          <w:rStyle w:val="VerbatimChar"/>
        </w:rPr>
        <w:t xml:space="preserve">      }</w:t>
      </w:r>
      <w:r>
        <w:br/>
      </w:r>
      <w:r>
        <w:rPr>
          <w:rStyle w:val="VerbatimChar"/>
        </w:rPr>
        <w:t xml:space="preserve">    },</w:t>
      </w:r>
      <w:r>
        <w:br/>
      </w:r>
      <w:r>
        <w:rPr>
          <w:rStyle w:val="VerbatimChar"/>
        </w:rPr>
        <w:t xml:space="preserve">    "offers": {</w:t>
      </w:r>
      <w:r>
        <w:br/>
      </w:r>
      <w:r>
        <w:rPr>
          <w:rStyle w:val="VerbatimChar"/>
        </w:rPr>
        <w:t xml:space="preserve">      "type": "array",</w:t>
      </w:r>
      <w:r>
        <w:br/>
      </w:r>
      <w:r>
        <w:rPr>
          <w:rStyle w:val="VerbatimChar"/>
        </w:rPr>
        <w:t xml:space="preserve">      "items": {</w:t>
      </w:r>
      <w:r>
        <w:br/>
      </w:r>
      <w:r>
        <w:rPr>
          <w:rStyle w:val="VerbatimChar"/>
        </w:rPr>
        <w:t xml:space="preserve">        "type": "object",</w:t>
      </w:r>
      <w:r>
        <w:br/>
      </w:r>
      <w:r>
        <w:rPr>
          <w:rStyle w:val="VerbatimChar"/>
        </w:rPr>
        <w:t xml:space="preserve">        "required": ["offerId", "type", "supplier", "total", "currency"],</w:t>
      </w:r>
      <w:r>
        <w:br/>
      </w:r>
      <w:r>
        <w:rPr>
          <w:rStyle w:val="VerbatimChar"/>
        </w:rPr>
        <w:t xml:space="preserve">        "properties": {</w:t>
      </w:r>
      <w:r>
        <w:br/>
      </w:r>
      <w:r>
        <w:rPr>
          <w:rStyle w:val="VerbatimChar"/>
        </w:rPr>
        <w:t xml:space="preserve">          "offerId": { "type": "string" },</w:t>
      </w:r>
      <w:r>
        <w:br/>
      </w:r>
      <w:r>
        <w:rPr>
          <w:rStyle w:val="VerbatimChar"/>
        </w:rPr>
        <w:t xml:space="preserve">          "type": { "type": "string", "enum": ["air", "hotel", "rail", "car"] },</w:t>
      </w:r>
      <w:r>
        <w:br/>
      </w:r>
      <w:r>
        <w:rPr>
          <w:rStyle w:val="VerbatimChar"/>
        </w:rPr>
        <w:t xml:space="preserve">          "supplier": { "type": "string" },</w:t>
      </w:r>
      <w:r>
        <w:br/>
      </w:r>
      <w:r>
        <w:rPr>
          <w:rStyle w:val="VerbatimChar"/>
        </w:rPr>
        <w:t xml:space="preserve">          "channel": { "type": "string" },</w:t>
      </w:r>
      <w:r>
        <w:br/>
      </w:r>
      <w:r>
        <w:rPr>
          <w:rStyle w:val="VerbatimChar"/>
        </w:rPr>
        <w:t xml:space="preserve">          "fareClass": { "type": "string" },</w:t>
      </w:r>
      <w:r>
        <w:br/>
      </w:r>
      <w:r>
        <w:rPr>
          <w:rStyle w:val="VerbatimChar"/>
        </w:rPr>
        <w:t xml:space="preserve">          "refundable": { "type": "boolean" },</w:t>
      </w:r>
      <w:r>
        <w:br/>
      </w:r>
      <w:r>
        <w:rPr>
          <w:rStyle w:val="VerbatimChar"/>
        </w:rPr>
        <w:t xml:space="preserve">          "carbonKgCo2e": { "type": "number" },</w:t>
      </w:r>
      <w:r>
        <w:br/>
      </w:r>
      <w:r>
        <w:rPr>
          <w:rStyle w:val="VerbatimChar"/>
        </w:rPr>
        <w:t xml:space="preserve">          "total": { "type": "number" },</w:t>
      </w:r>
      <w:r>
        <w:br/>
      </w:r>
      <w:r>
        <w:rPr>
          <w:rStyle w:val="VerbatimChar"/>
        </w:rPr>
        <w:t xml:space="preserve">          "currency": { "type": "string"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And the response should return structured outcomes, not a binary allow/deny:</w:t>
      </w:r>
    </w:p>
    <w:p>
      <w:pPr>
        <w:pStyle w:val="SourceCode"/>
      </w:pPr>
      <w:r>
        <w:rPr>
          <w:rStyle w:val="VerbatimChar"/>
        </w:rPr>
        <w:t xml:space="preserve">{</w:t>
      </w:r>
      <w:r>
        <w:br/>
      </w:r>
      <w:r>
        <w:rPr>
          <w:rStyle w:val="VerbatimChar"/>
        </w:rPr>
        <w:t xml:space="preserve">  "decisionId": "dec_123",</w:t>
      </w:r>
      <w:r>
        <w:br/>
      </w:r>
      <w:r>
        <w:rPr>
          <w:rStyle w:val="VerbatimChar"/>
        </w:rPr>
        <w:t xml:space="preserve">  "result": "requires_approval",</w:t>
      </w:r>
      <w:r>
        <w:br/>
      </w:r>
      <w:r>
        <w:rPr>
          <w:rStyle w:val="VerbatimChar"/>
        </w:rPr>
        <w:t xml:space="preserve">  "policyVersion": "2026-05-08.7",</w:t>
      </w:r>
      <w:r>
        <w:br/>
      </w:r>
      <w:r>
        <w:rPr>
          <w:rStyle w:val="VerbatimChar"/>
        </w:rPr>
        <w:t xml:space="preserve">  "winningRules": ["air.cabin.longhaul.manager_approval", "payment.hotel.virtual_card_required"],</w:t>
      </w:r>
      <w:r>
        <w:br/>
      </w:r>
      <w:r>
        <w:rPr>
          <w:rStyle w:val="VerbatimChar"/>
        </w:rPr>
        <w:t xml:space="preserve">  "reasons": [</w:t>
      </w:r>
      <w:r>
        <w:br/>
      </w:r>
      <w:r>
        <w:rPr>
          <w:rStyle w:val="VerbatimChar"/>
        </w:rPr>
        <w:t xml:space="preserve">    { "code": "CABIN_RESTRICTED", "severity": "error", "message": "Business class requires approval on this route." }</w:t>
      </w:r>
      <w:r>
        <w:br/>
      </w:r>
      <w:r>
        <w:rPr>
          <w:rStyle w:val="VerbatimChar"/>
        </w:rPr>
        <w:t xml:space="preserve">  ],</w:t>
      </w:r>
      <w:r>
        <w:br/>
      </w:r>
      <w:r>
        <w:rPr>
          <w:rStyle w:val="VerbatimChar"/>
        </w:rPr>
        <w:t xml:space="preserve">  "obligations": {</w:t>
      </w:r>
      <w:r>
        <w:br/>
      </w:r>
      <w:r>
        <w:rPr>
          <w:rStyle w:val="VerbatimChar"/>
        </w:rPr>
        <w:t xml:space="preserve">    "requiredApprovals": ["manager", "budget_owner"],</w:t>
      </w:r>
      <w:r>
        <w:br/>
      </w:r>
      <w:r>
        <w:rPr>
          <w:rStyle w:val="VerbatimChar"/>
        </w:rPr>
        <w:t xml:space="preserve">    "paymentProfile": "hotel_vcn_default",</w:t>
      </w:r>
      <w:r>
        <w:br/>
      </w:r>
      <w:r>
        <w:rPr>
          <w:rStyle w:val="VerbatimChar"/>
        </w:rPr>
        <w:t xml:space="preserve">    "costObjectRequired": true</w:t>
      </w:r>
      <w:r>
        <w:br/>
      </w:r>
      <w:r>
        <w:rPr>
          <w:rStyle w:val="VerbatimChar"/>
        </w:rPr>
        <w:t xml:space="preserve">  },</w:t>
      </w:r>
      <w:r>
        <w:br/>
      </w:r>
      <w:r>
        <w:rPr>
          <w:rStyle w:val="VerbatimChar"/>
        </w:rPr>
        <w:t xml:space="preserve">  "alternatives": {</w:t>
      </w:r>
      <w:r>
        <w:br/>
      </w:r>
      <w:r>
        <w:rPr>
          <w:rStyle w:val="VerbatimChar"/>
        </w:rPr>
        <w:t xml:space="preserve">    "filterHints": { "allowedCabins": ["economy", "premium_economy"], "maxHotelNightly": 220.0 }</w:t>
      </w:r>
      <w:r>
        <w:br/>
      </w:r>
      <w:r>
        <w:rPr>
          <w:rStyle w:val="VerbatimChar"/>
        </w:rPr>
        <w:t xml:space="preserve">  },</w:t>
      </w:r>
      <w:r>
        <w:br/>
      </w:r>
      <w:r>
        <w:rPr>
          <w:rStyle w:val="VerbatimChar"/>
        </w:rPr>
        <w:t xml:space="preserve">  "expiresAt": "2026-05-08T11:10:00Z"</w:t>
      </w:r>
      <w:r>
        <w:br/>
      </w:r>
      <w:r>
        <w:rPr>
          <w:rStyle w:val="VerbatimChar"/>
        </w:rPr>
        <w:t xml:space="preserve">}</w:t>
      </w:r>
    </w:p>
    <w:bookmarkEnd w:id="56"/>
    <w:bookmarkEnd w:id="57"/>
    <w:bookmarkStart w:id="59" w:name="X0f8da94e3c5cc667b76d8449526ed0eac40b8dd"/>
    <w:p>
      <w:pPr>
        <w:pStyle w:val="Heading2"/>
      </w:pPr>
      <w:r>
        <w:t xml:space="preserve">Integration with booking tools and mid-office</w:t>
      </w:r>
    </w:p>
    <w:p>
      <w:pPr>
        <w:pStyle w:val="FirstParagraph"/>
      </w:pPr>
      <w:r>
        <w:t xml:space="preserve">The standalone product should integrate through</w:t>
      </w:r>
      <w:r>
        <w:t xml:space="preserve"> </w:t>
      </w:r>
      <w:r>
        <w:rPr>
          <w:b/>
          <w:bCs/>
        </w:rPr>
        <w:t xml:space="preserve">three complementary patterns</w:t>
      </w:r>
      <w:r>
        <w:t xml:space="preserve">: synchronous decisioning, asynchronous workflow, and event/webhook propagation. In practical terms, a booking tool should call the product before search or before displaying results for coarse filters, again before booking for precise validation, and then send final booking-change-cancel events after the fact. Downstream finance, reporting and TMC systems should subscribe to normalised events instead of scraping booking-system states directly. That design mirrors the open-platform patterns documented by and the integration options documented by .</w:t>
      </w:r>
      <w:r>
        <w:t xml:space="preserve"> </w:t>
      </w:r>
      <w:hyperlink r:id="rId25">
        <w:r>
          <w:rPr>
            <w:rStyle w:val="Hyperlink"/>
          </w:rPr>
          <w:t xml:space="preserve">[54]</w:t>
        </w:r>
      </w:hyperlink>
    </w:p>
    <w:bookmarkStart w:id="58" w:name="recommended-integration-pattern-matrix"/>
    <w:p>
      <w:pPr>
        <w:pStyle w:val="Heading3"/>
      </w:pPr>
      <w:r>
        <w:t xml:space="preserve">Recommended integration pattern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Best use</w:t>
            </w:r>
          </w:p>
        </w:tc>
        <w:tc>
          <w:tcPr/>
          <w:p>
            <w:pPr>
              <w:pStyle w:val="Compact"/>
            </w:pPr>
            <w:r>
              <w:t xml:space="preserve">Why it matters</w:t>
            </w:r>
          </w:p>
        </w:tc>
        <w:tc>
          <w:tcPr/>
          <w:p>
            <w:pPr>
              <w:pStyle w:val="Compact"/>
            </w:pPr>
            <w:r>
              <w:t xml:space="preserve">Main caveat</w:t>
            </w:r>
          </w:p>
        </w:tc>
      </w:tr>
      <w:tr>
        <w:tc>
          <w:tcPr/>
          <w:p>
            <w:pPr>
              <w:pStyle w:val="Compact"/>
            </w:pPr>
            <w:r>
              <w:rPr>
                <w:b/>
                <w:bCs/>
              </w:rPr>
              <w:t xml:space="preserve">Synchronous decision API</w:t>
            </w:r>
          </w:p>
        </w:tc>
        <w:tc>
          <w:tcPr/>
          <w:p>
            <w:pPr>
              <w:pStyle w:val="Compact"/>
            </w:pPr>
            <w:r>
              <w:t xml:space="preserve">Search-time filters, pre-book validation, exchange and refund checks</w:t>
            </w:r>
          </w:p>
        </w:tc>
        <w:tc>
          <w:tcPr/>
          <w:p>
            <w:pPr>
              <w:pStyle w:val="Compact"/>
            </w:pPr>
            <w:r>
              <w:t xml:space="preserve">Allows the booking tool to enforce policy in-flow and show compliant alternatives immediately</w:t>
            </w:r>
          </w:p>
        </w:tc>
        <w:tc>
          <w:tcPr/>
          <w:p>
            <w:pPr>
              <w:pStyle w:val="Compact"/>
            </w:pPr>
            <w:r>
              <w:t xml:space="preserve">Must be low latency and resilient; stale policy caches create trust problems</w:t>
            </w:r>
          </w:p>
        </w:tc>
      </w:tr>
      <w:tr>
        <w:tc>
          <w:tcPr/>
          <w:p>
            <w:pPr>
              <w:pStyle w:val="Compact"/>
            </w:pPr>
            <w:r>
              <w:rPr>
                <w:b/>
                <w:bCs/>
              </w:rPr>
              <w:t xml:space="preserve">Asynchronous approval workflow</w:t>
            </w:r>
          </w:p>
        </w:tc>
        <w:tc>
          <w:tcPr/>
          <w:p>
            <w:pPr>
              <w:pStyle w:val="Compact"/>
            </w:pPr>
            <w:r>
              <w:t xml:space="preserve">Multi-level or conditional approvals, revalidation after price changes, emergency escalations</w:t>
            </w:r>
          </w:p>
        </w:tc>
        <w:tc>
          <w:tcPr/>
          <w:p>
            <w:pPr>
              <w:pStyle w:val="Compact"/>
            </w:pPr>
            <w:r>
              <w:t xml:space="preserve">Avoids blocking the front end on human action and lets you model delegation, expiry and escalation cleanly</w:t>
            </w:r>
          </w:p>
        </w:tc>
        <w:tc>
          <w:tcPr/>
          <w:p>
            <w:pPr>
              <w:pStyle w:val="Compact"/>
            </w:pPr>
            <w:r>
              <w:t xml:space="preserve">Booking tools differ in whether they can hold inventory or defer ticketing cleanly</w:t>
            </w:r>
          </w:p>
        </w:tc>
      </w:tr>
      <w:tr>
        <w:tc>
          <w:tcPr/>
          <w:p>
            <w:pPr>
              <w:pStyle w:val="Compact"/>
            </w:pPr>
            <w:r>
              <w:rPr>
                <w:b/>
                <w:bCs/>
              </w:rPr>
              <w:t xml:space="preserve">Webhooks / event bus</w:t>
            </w:r>
          </w:p>
        </w:tc>
        <w:tc>
          <w:tcPr/>
          <w:p>
            <w:pPr>
              <w:pStyle w:val="Compact"/>
            </w:pPr>
            <w:r>
              <w:t xml:space="preserve">Booking-confirmed, booking-changed, ticketed, cancelled, invoice-issued, card-authorised, traveller-status-changed</w:t>
            </w:r>
          </w:p>
        </w:tc>
        <w:tc>
          <w:tcPr/>
          <w:p>
            <w:pPr>
              <w:pStyle w:val="Compact"/>
            </w:pPr>
            <w:r>
              <w:t xml:space="preserve">Essential for audit, mid-office, reporting, PSP and ERP synchronisation</w:t>
            </w:r>
          </w:p>
        </w:tc>
        <w:tc>
          <w:tcPr/>
          <w:p>
            <w:pPr>
              <w:pStyle w:val="Compact"/>
            </w:pPr>
            <w:r>
              <w:t xml:space="preserve">Requires strict idempotency, replay handling and schema versioning</w:t>
            </w:r>
          </w:p>
        </w:tc>
      </w:tr>
      <w:tr>
        <w:tc>
          <w:tcPr/>
          <w:p>
            <w:pPr>
              <w:pStyle w:val="Compact"/>
            </w:pPr>
            <w:r>
              <w:rPr>
                <w:b/>
                <w:bCs/>
              </w:rPr>
              <w:t xml:space="preserve">SCIM provisioning</w:t>
            </w:r>
          </w:p>
        </w:tc>
        <w:tc>
          <w:tcPr/>
          <w:p>
            <w:pPr>
              <w:pStyle w:val="Compact"/>
            </w:pPr>
            <w:r>
              <w:t xml:space="preserve">User lifecycle, manager-chain sync, entitlements, legal-entity membership</w:t>
            </w:r>
          </w:p>
        </w:tc>
        <w:tc>
          <w:tcPr/>
          <w:p>
            <w:pPr>
              <w:pStyle w:val="Compact"/>
            </w:pPr>
            <w:r>
              <w:t xml:space="preserve">Standardises create/update/deactivate of users and roles across tenants</w:t>
            </w:r>
          </w:p>
        </w:tc>
        <w:tc>
          <w:tcPr/>
          <w:p>
            <w:pPr>
              <w:pStyle w:val="Compact"/>
            </w:pPr>
            <w:r>
              <w:t xml:space="preserve">Some HR stacks still need file or direct integration fallbacks</w:t>
            </w:r>
          </w:p>
        </w:tc>
      </w:tr>
      <w:tr>
        <w:tc>
          <w:tcPr/>
          <w:p>
            <w:pPr>
              <w:pStyle w:val="Compact"/>
            </w:pPr>
            <w:r>
              <w:rPr>
                <w:b/>
                <w:bCs/>
              </w:rPr>
              <w:t xml:space="preserve">SAML / OIDC federation</w:t>
            </w:r>
          </w:p>
        </w:tc>
        <w:tc>
          <w:tcPr/>
          <w:p>
            <w:pPr>
              <w:pStyle w:val="Compact"/>
            </w:pPr>
            <w:r>
              <w:t xml:space="preserve">Enterprise SSO, tenant-specific IdPs, multi-tenant login flows</w:t>
            </w:r>
          </w:p>
        </w:tc>
        <w:tc>
          <w:tcPr/>
          <w:p>
            <w:pPr>
              <w:pStyle w:val="Compact"/>
            </w:pPr>
            <w:r>
              <w:t xml:space="preserve">Mandatory for enterprise trust and lower admin overhead</w:t>
            </w:r>
          </w:p>
        </w:tc>
        <w:tc>
          <w:tcPr/>
          <w:p>
            <w:pPr>
              <w:pStyle w:val="Compact"/>
            </w:pPr>
            <w:r>
              <w:t xml:space="preserve">Needs careful tenant isolation and metadata management</w:t>
            </w:r>
          </w:p>
        </w:tc>
      </w:tr>
    </w:tbl>
    <w:p>
      <w:pPr>
        <w:pStyle w:val="BodyText"/>
      </w:pPr>
      <w:r>
        <w:t xml:space="preserve">The identity layer should explicitly support SCIM, SAML and OIDC because the standards and the market both point that way. SCIM exists specifically to simplify identity management across domains, OIDC provides an interoperable identity layer for modern web applications, and SAML remains deeply embedded in enterprise SSO estates. Meanwhile, and both advertise SSO and HR integrations, while explicitly documents Okta SCIM.</w:t>
      </w:r>
      <w:r>
        <w:t xml:space="preserve"> </w:t>
      </w:r>
      <w:hyperlink r:id="rId27">
        <w:r>
          <w:rPr>
            <w:rStyle w:val="Hyperlink"/>
          </w:rPr>
          <w:t xml:space="preserve">[55]</w:t>
        </w:r>
      </w:hyperlink>
    </w:p>
    <w:p>
      <w:pPr>
        <w:pStyle w:val="BodyText"/>
      </w:pPr>
      <w:r>
        <w:t xml:space="preserve">The booking-tool integration should also support</w:t>
      </w:r>
      <w:r>
        <w:t xml:space="preserve"> </w:t>
      </w:r>
      <w:r>
        <w:rPr>
          <w:b/>
          <w:bCs/>
        </w:rPr>
        <w:t xml:space="preserve">pre-book checks, in-flow approvals and post-book reconciliation as distinct decision points</w:t>
      </w:r>
      <w:r>
        <w:t xml:space="preserve">. Pre-book checks shape the shopping experience. In-flow approvals determine whether the booking may proceed, wait or be denied. Post-book reconciliation ensures that the final booked object still matches the approved or allowable state after repricing, ancillary addition, split payment or exchange. This is particularly important because the industry is operating across both legacy and order-based booking models.</w:t>
      </w:r>
      <w:r>
        <w:t xml:space="preserve"> </w:t>
      </w:r>
      <w:hyperlink r:id="rId47">
        <w:r>
          <w:rPr>
            <w:rStyle w:val="Hyperlink"/>
          </w:rPr>
          <w:t xml:space="preserve">[56]</w:t>
        </w:r>
      </w:hyperlink>
    </w:p>
    <w:p>
      <w:pPr>
        <w:pStyle w:val="BodyText"/>
      </w:pPr>
      <w:r>
        <w:t xml:space="preserve">For</w:t>
      </w:r>
      <w:r>
        <w:t xml:space="preserve"> </w:t>
      </w:r>
      <w:r>
        <w:rPr>
          <w:b/>
          <w:bCs/>
        </w:rPr>
        <w:t xml:space="preserve">mid-office integration</w:t>
      </w:r>
      <w:r>
        <w:t xml:space="preserve">, the product should normalise incoming records into a canonical structure, for example</w:t>
      </w:r>
      <w:r>
        <w:t xml:space="preserve"> </w:t>
      </w:r>
      <w:r>
        <w:rPr>
          <w:rStyle w:val="VerbatimChar"/>
        </w:rPr>
        <w:t xml:space="preserve">trip</w:t>
      </w:r>
      <w:r>
        <w:t xml:space="preserve">,</w:t>
      </w:r>
      <w:r>
        <w:t xml:space="preserve"> </w:t>
      </w:r>
      <w:r>
        <w:rPr>
          <w:rStyle w:val="VerbatimChar"/>
        </w:rPr>
        <w:t xml:space="preserve">order_component</w:t>
      </w:r>
      <w:r>
        <w:t xml:space="preserve">,</w:t>
      </w:r>
      <w:r>
        <w:t xml:space="preserve"> </w:t>
      </w:r>
      <w:r>
        <w:rPr>
          <w:rStyle w:val="VerbatimChar"/>
        </w:rPr>
        <w:t xml:space="preserve">payment_allocation</w:t>
      </w:r>
      <w:r>
        <w:t xml:space="preserve">,</w:t>
      </w:r>
      <w:r>
        <w:t xml:space="preserve"> </w:t>
      </w:r>
      <w:r>
        <w:rPr>
          <w:rStyle w:val="VerbatimChar"/>
        </w:rPr>
        <w:t xml:space="preserve">approval_event</w:t>
      </w:r>
      <w:r>
        <w:t xml:space="preserve">,</w:t>
      </w:r>
      <w:r>
        <w:t xml:space="preserve"> </w:t>
      </w:r>
      <w:r>
        <w:rPr>
          <w:rStyle w:val="VerbatimChar"/>
        </w:rPr>
        <w:t xml:space="preserve">invoice_reference</w:t>
      </w:r>
      <w:r>
        <w:t xml:space="preserve"> </w:t>
      </w:r>
      <w:r>
        <w:t xml:space="preserve">and</w:t>
      </w:r>
      <w:r>
        <w:t xml:space="preserve"> </w:t>
      </w:r>
      <w:r>
        <w:rPr>
          <w:rStyle w:val="VerbatimChar"/>
        </w:rPr>
        <w:t xml:space="preserve">tax_context</w:t>
      </w:r>
      <w:r>
        <w:t xml:space="preserve">. That structure should absorb PNRs, order IDs, hotel reservation numbers, rail order references and PSP transaction IDs without assuming that any one supplier identifier is universal. That is the only robust approach in a world where NDC and ONE Order coexist with PNR-heavy workflows.</w:t>
      </w:r>
      <w:r>
        <w:t xml:space="preserve"> </w:t>
      </w:r>
      <w:hyperlink r:id="rId47">
        <w:r>
          <w:rPr>
            <w:rStyle w:val="Hyperlink"/>
          </w:rPr>
          <w:t xml:space="preserve">[56]</w:t>
        </w:r>
      </w:hyperlink>
    </w:p>
    <w:bookmarkEnd w:id="58"/>
    <w:bookmarkEnd w:id="59"/>
    <w:bookmarkStart w:id="64" w:name="operating-model-security-and-compliance"/>
    <w:p>
      <w:pPr>
        <w:pStyle w:val="Heading2"/>
      </w:pPr>
      <w:r>
        <w:t xml:space="preserve">Operating model, security and compliance</w:t>
      </w:r>
    </w:p>
    <w:p>
      <w:pPr>
        <w:pStyle w:val="FirstParagraph"/>
      </w:pPr>
      <w:r>
        <w:t xml:space="preserve">A major advantage of this product concept is that it can be run with lower ongoing human intensity than a full travel platform, because the operational problem is primarily</w:t>
      </w:r>
      <w:r>
        <w:t xml:space="preserve"> </w:t>
      </w:r>
      <w:r>
        <w:rPr>
          <w:b/>
          <w:bCs/>
        </w:rPr>
        <w:t xml:space="preserve">policy administration and workflow</w:t>
      </w:r>
      <w:r>
        <w:t xml:space="preserve">, not traveller emergency servicing. To keep headcount low, the product should automate low-risk approvals, use delegated approval by default, escalate only on defined risk conditions, and issue machine-readable webhook outcomes so that booking tools and TMC systems do not need manual polling. The biggest operational burden in practice will be onboarding, configuration quality and change control, not 24/7 traveller support.</w:t>
      </w:r>
      <w:r>
        <w:t xml:space="preserve"> </w:t>
      </w:r>
      <w:hyperlink r:id="rId29">
        <w:r>
          <w:rPr>
            <w:rStyle w:val="Hyperlink"/>
          </w:rPr>
          <w:t xml:space="preserve">[57]</w:t>
        </w:r>
      </w:hyperlink>
    </w:p>
    <w:p>
      <w:pPr>
        <w:pStyle w:val="BodyText"/>
      </w:pPr>
      <w:r>
        <w:t xml:space="preserve">The operating model should include explicit</w:t>
      </w:r>
      <w:r>
        <w:t xml:space="preserve"> </w:t>
      </w:r>
      <w:r>
        <w:rPr>
          <w:b/>
          <w:bCs/>
        </w:rPr>
        <w:t xml:space="preserve">SLA classes</w:t>
      </w:r>
      <w:r>
        <w:t xml:space="preserve">. For example: search-time decisions should target very low latency; booking-time decisions should be deterministic and highly available; approval notifications should be near-real-time; and audit-log delivery should be durable rather than instant. You also want approval ageing dashboards, auto-escalation for dormant requests, and pre-configured delegation for approvers on leave. These are not publicly standardised metrics, but they are the practical controls required if the product is to replace ad hoc email approvals and spreadsheet-based tracking. The market’s emphasis on built-in reporting and workflow automation reinforces the importance of this design.</w:t>
      </w:r>
      <w:r>
        <w:t xml:space="preserve"> </w:t>
      </w:r>
      <w:hyperlink r:id="rId29">
        <w:r>
          <w:rPr>
            <w:rStyle w:val="Hyperlink"/>
          </w:rPr>
          <w:t xml:space="preserve">[58]</w:t>
        </w:r>
      </w:hyperlink>
    </w:p>
    <w:p>
      <w:pPr>
        <w:pStyle w:val="BodyText"/>
      </w:pPr>
      <w:r>
        <w:t xml:space="preserve">Observability should be split into</w:t>
      </w:r>
      <w:r>
        <w:t xml:space="preserve"> </w:t>
      </w:r>
      <w:r>
        <w:rPr>
          <w:b/>
          <w:bCs/>
        </w:rPr>
        <w:t xml:space="preserve">business observability</w:t>
      </w:r>
      <w:r>
        <w:t xml:space="preserve"> </w:t>
      </w:r>
      <w:r>
        <w:t xml:space="preserve">and</w:t>
      </w:r>
      <w:r>
        <w:t xml:space="preserve"> </w:t>
      </w:r>
      <w:r>
        <w:rPr>
          <w:b/>
          <w:bCs/>
        </w:rPr>
        <w:t xml:space="preserve">platform observability</w:t>
      </w:r>
      <w:r>
        <w:t xml:space="preserve">. Business observability measures policy decision counts, approval age, override frequency, top denial reasons, policy leakage by channel, and time-to-book after first search. Platform observability measures latency, error rates, queue depth, webhook retries, cache hit ratios, and policy bundle propagation status. For the cloud control plane, CloudTrail is relevant because AWS explicitly positions it for governance, compliance and operational auditing, while application-layer decision logs should capture who changed which policy, which version evaluated a booking and why a result was returned. OPA’s decision-log model is a good reference for the application side.</w:t>
      </w:r>
      <w:r>
        <w:t xml:space="preserve"> </w:t>
      </w:r>
      <w:hyperlink r:id="rId60">
        <w:r>
          <w:rPr>
            <w:rStyle w:val="Hyperlink"/>
          </w:rPr>
          <w:t xml:space="preserve">[59]</w:t>
        </w:r>
      </w:hyperlink>
    </w:p>
    <w:p>
      <w:pPr>
        <w:pStyle w:val="BodyText"/>
      </w:pPr>
      <w:r>
        <w:t xml:space="preserve">On privacy and regulation, design for</w:t>
      </w:r>
      <w:r>
        <w:t xml:space="preserve"> </w:t>
      </w:r>
      <w:r>
        <w:rPr>
          <w:b/>
          <w:bCs/>
        </w:rPr>
        <w:t xml:space="preserve">UK GDPR and EU GDPR from the start</w:t>
      </w:r>
      <w:r>
        <w:t xml:space="preserve">. The European Commission</w:t>
      </w:r>
      <w:hyperlink r:id="rId44">
        <w:r>
          <w:rPr>
            <w:rStyle w:val="Hyperlink"/>
          </w:rPr>
          <w:t xml:space="preserve">[60]</w:t>
        </w:r>
      </w:hyperlink>
      <w:r>
        <w:t xml:space="preserve"> </w:t>
      </w:r>
      <w:r>
        <w:t xml:space="preserve">states that GDPR applies to organisations inside the EU and also to organisations outside it when they target people in the EU. The Information Commissioner's Office</w:t>
      </w:r>
      <w:hyperlink r:id="rId31">
        <w:r>
          <w:rPr>
            <w:rStyle w:val="Hyperlink"/>
          </w:rPr>
          <w:t xml:space="preserve">[61]</w:t>
        </w:r>
      </w:hyperlink>
      <w:r>
        <w:t xml:space="preserve"> </w:t>
      </w:r>
      <w:r>
        <w:t xml:space="preserve">states that a DPIA is required where processing is likely to result in high risk. Travel policy systems may process itinerary history, location context, manager chains, project codes and sometimes accessibility or health-adjacent assistance data, so a DPIA and strict data-minimisation approach are prudent baseline controls.</w:t>
      </w:r>
      <w:r>
        <w:t xml:space="preserve"> </w:t>
      </w:r>
      <w:hyperlink r:id="rId61">
        <w:r>
          <w:rPr>
            <w:rStyle w:val="Hyperlink"/>
          </w:rPr>
          <w:t xml:space="preserve">[62]</w:t>
        </w:r>
      </w:hyperlink>
    </w:p>
    <w:p>
      <w:pPr>
        <w:pStyle w:val="BodyText"/>
      </w:pPr>
      <w:r>
        <w:t xml:space="preserve">That privacy posture means the policy layer should store only the minimum needed to decide and audit. It should generally avoid storing full passport data, unmanaged free-text medical notes or raw traveller-support correspondence unless there is a clear legal and operational need. When accessibility or special-assistance data is involved, segregation and stricter retention become more important because the ICO treats special-category and high-risk processing with greater care.</w:t>
      </w:r>
      <w:r>
        <w:t xml:space="preserve"> </w:t>
      </w:r>
      <w:hyperlink r:id="rId62">
        <w:r>
          <w:rPr>
            <w:rStyle w:val="Hyperlink"/>
          </w:rPr>
          <w:t xml:space="preserve">[63]</w:t>
        </w:r>
      </w:hyperlink>
    </w:p>
    <w:p>
      <w:pPr>
        <w:pStyle w:val="BodyText"/>
      </w:pPr>
      <w:r>
        <w:t xml:space="preserve">On payments, keep the policy layer</w:t>
      </w:r>
      <w:r>
        <w:t xml:space="preserve"> </w:t>
      </w:r>
      <w:r>
        <w:rPr>
          <w:b/>
          <w:bCs/>
        </w:rPr>
        <w:t xml:space="preserve">out of direct PCI scope where possible</w:t>
      </w:r>
      <w:r>
        <w:t xml:space="preserve">. The PCI Security Standards Council</w:t>
      </w:r>
      <w:hyperlink r:id="rId33">
        <w:r>
          <w:rPr>
            <w:rStyle w:val="Hyperlink"/>
          </w:rPr>
          <w:t xml:space="preserve">[64]</w:t>
        </w:r>
      </w:hyperlink>
      <w:r>
        <w:t xml:space="preserve"> </w:t>
      </w:r>
      <w:r>
        <w:t xml:space="preserve">says PCI DSS applies to all entities involved in payment processing, regardless of size. also notes that PCI-DSS rules protect cardholder data and that not every method of card retrieval is compliant. The strongest design is therefore to let the policy engine decide</w:t>
      </w:r>
      <w:r>
        <w:t xml:space="preserve"> </w:t>
      </w:r>
      <w:r>
        <w:rPr>
          <w:i/>
          <w:iCs/>
        </w:rPr>
        <w:t xml:space="preserve">which payment profile is required</w:t>
      </w:r>
      <w:r>
        <w:t xml:space="preserve">, while a PSP or issuing platform handles tokenisation, card creation and PAN display through compliant components.</w:t>
      </w:r>
      <w:r>
        <w:t xml:space="preserve"> </w:t>
      </w:r>
      <w:hyperlink r:id="rId63">
        <w:r>
          <w:rPr>
            <w:rStyle w:val="Hyperlink"/>
          </w:rPr>
          <w:t xml:space="preserve">[65]</w:t>
        </w:r>
      </w:hyperlink>
    </w:p>
    <w:p>
      <w:pPr>
        <w:pStyle w:val="BodyText"/>
      </w:pPr>
      <w:r>
        <w:t xml:space="preserve">For AWS security and compliance, remember the shared-responsibility model. AWS states that security and compliance are shared, and that the same separation of responsibility remains under GDPR. In practice, that means AWS can help with infrastructure assurances and residency tooling, but you still own access control, tenant isolation, retention, encryption configuration, event review and incident handling.</w:t>
      </w:r>
      <w:r>
        <w:t xml:space="preserve"> </w:t>
      </w:r>
      <w:hyperlink r:id="rId21">
        <w:r>
          <w:rPr>
            <w:rStyle w:val="Hyperlink"/>
          </w:rPr>
          <w:t xml:space="preserve">[66]</w:t>
        </w:r>
      </w:hyperlink>
    </w:p>
    <w:bookmarkEnd w:id="64"/>
    <w:bookmarkStart w:id="66" w:name="X17748634128d3d77e25fcbfeb388bd23493e1fb"/>
    <w:p>
      <w:pPr>
        <w:pStyle w:val="Heading2"/>
      </w:pPr>
      <w:r>
        <w:t xml:space="preserve">Commercial model, roadmap and go-to-market</w:t>
      </w:r>
    </w:p>
    <w:p>
      <w:pPr>
        <w:pStyle w:val="FirstParagraph"/>
      </w:pPr>
      <w:r>
        <w:t xml:space="preserve">The strongest commercial model for this product is</w:t>
      </w:r>
      <w:r>
        <w:t xml:space="preserve"> </w:t>
      </w:r>
      <w:r>
        <w:rPr>
          <w:b/>
          <w:bCs/>
        </w:rPr>
        <w:t xml:space="preserve">hybrid SaaS</w:t>
      </w:r>
      <w:r>
        <w:t xml:space="preserve">, not pure per-seat and not pure transaction. The most logical charging dimensions are: tenant or platform fee; active travellers or enrolled employees; number of legal entities; number of policy sets or environments; evaluated trips or decision calls above a threshold; and optional OEM or white-label rights for TMCs. This aligns price with the value actually delivered: governance complexity, approval automation and cross-system control. It also avoids misaligning incentives, which is what happens when a standalone governance layer tries to mimic booking-fee economics too closely.</w:t>
      </w:r>
      <w:r>
        <w:t xml:space="preserve"> </w:t>
      </w:r>
      <w:hyperlink r:id="rId24">
        <w:r>
          <w:rPr>
            <w:rStyle w:val="Hyperlink"/>
          </w:rPr>
          <w:t xml:space="preserve">[9]</w:t>
        </w:r>
      </w:hyperlink>
    </w:p>
    <w:bookmarkStart w:id="65" w:name="pricing-model-recommendation"/>
    <w:p>
      <w:pPr>
        <w:pStyle w:val="Heading3"/>
      </w:pPr>
      <w:r>
        <w:t xml:space="preserve">Pricing-model recommendation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Strength</w:t>
            </w:r>
          </w:p>
        </w:tc>
        <w:tc>
          <w:tcPr/>
          <w:p>
            <w:pPr>
              <w:pStyle w:val="Compact"/>
            </w:pPr>
            <w:r>
              <w:t xml:space="preserve">Weakness</w:t>
            </w:r>
          </w:p>
        </w:tc>
        <w:tc>
          <w:tcPr/>
          <w:p>
            <w:pPr>
              <w:pStyle w:val="Compact"/>
            </w:pPr>
            <w:r>
              <w:t xml:space="preserve">Recommendation</w:t>
            </w:r>
          </w:p>
        </w:tc>
      </w:tr>
      <w:tr>
        <w:tc>
          <w:tcPr/>
          <w:p>
            <w:pPr>
              <w:pStyle w:val="Compact"/>
            </w:pPr>
            <w:r>
              <w:t xml:space="preserve">Seat-based</w:t>
            </w:r>
          </w:p>
        </w:tc>
        <w:tc>
          <w:tcPr/>
          <w:p>
            <w:pPr>
              <w:pStyle w:val="Compact"/>
            </w:pPr>
            <w:r>
              <w:t xml:space="preserve">Familiar to buyers and easy to budget</w:t>
            </w:r>
          </w:p>
        </w:tc>
        <w:tc>
          <w:tcPr/>
          <w:p>
            <w:pPr>
              <w:pStyle w:val="Compact"/>
            </w:pPr>
            <w:r>
              <w:t xml:space="preserve">Poor fit for infrequent travellers and TMC/OEM channels</w:t>
            </w:r>
          </w:p>
        </w:tc>
        <w:tc>
          <w:tcPr/>
          <w:p>
            <w:pPr>
              <w:pStyle w:val="Compact"/>
            </w:pPr>
            <w:r>
              <w:t xml:space="preserve">Use only as one component of a hybrid model</w:t>
            </w:r>
          </w:p>
        </w:tc>
      </w:tr>
      <w:tr>
        <w:tc>
          <w:tcPr/>
          <w:p>
            <w:pPr>
              <w:pStyle w:val="Compact"/>
            </w:pPr>
            <w:r>
              <w:t xml:space="preserve">Tenant-based</w:t>
            </w:r>
          </w:p>
        </w:tc>
        <w:tc>
          <w:tcPr/>
          <w:p>
            <w:pPr>
              <w:pStyle w:val="Compact"/>
            </w:pPr>
            <w:r>
              <w:t xml:space="preserve">Good for minimum commitments and multi-entity governance</w:t>
            </w:r>
          </w:p>
        </w:tc>
        <w:tc>
          <w:tcPr/>
          <w:p>
            <w:pPr>
              <w:pStyle w:val="Compact"/>
            </w:pPr>
            <w:r>
              <w:t xml:space="preserve">Too blunt for scaling and usage variability</w:t>
            </w:r>
          </w:p>
        </w:tc>
        <w:tc>
          <w:tcPr/>
          <w:p>
            <w:pPr>
              <w:pStyle w:val="Compact"/>
            </w:pPr>
            <w:r>
              <w:t xml:space="preserve">Use as a base platform fee</w:t>
            </w:r>
          </w:p>
        </w:tc>
      </w:tr>
      <w:tr>
        <w:tc>
          <w:tcPr/>
          <w:p>
            <w:pPr>
              <w:pStyle w:val="Compact"/>
            </w:pPr>
            <w:r>
              <w:t xml:space="preserve">Transaction / evaluated-trip based</w:t>
            </w:r>
          </w:p>
        </w:tc>
        <w:tc>
          <w:tcPr/>
          <w:p>
            <w:pPr>
              <w:pStyle w:val="Compact"/>
            </w:pPr>
            <w:r>
              <w:t xml:space="preserve">Aligns with actual travel-policy usage</w:t>
            </w:r>
          </w:p>
        </w:tc>
        <w:tc>
          <w:tcPr/>
          <w:p>
            <w:pPr>
              <w:pStyle w:val="Compact"/>
            </w:pPr>
            <w:r>
              <w:t xml:space="preserve">Can punish search-heavy or highly seasonal customers</w:t>
            </w:r>
          </w:p>
        </w:tc>
        <w:tc>
          <w:tcPr/>
          <w:p>
            <w:pPr>
              <w:pStyle w:val="Compact"/>
            </w:pPr>
            <w:r>
              <w:t xml:space="preserve">Use as an overage or included-volume model, not the only price lever</w:t>
            </w:r>
          </w:p>
        </w:tc>
      </w:tr>
      <w:tr>
        <w:tc>
          <w:tcPr/>
          <w:p>
            <w:pPr>
              <w:pStyle w:val="Compact"/>
            </w:pPr>
            <w:r>
              <w:t xml:space="preserve">Percentage of booking value</w:t>
            </w:r>
          </w:p>
        </w:tc>
        <w:tc>
          <w:tcPr/>
          <w:p>
            <w:pPr>
              <w:pStyle w:val="Compact"/>
            </w:pPr>
            <w:r>
              <w:t xml:space="preserve">Familiar in travel distribution</w:t>
            </w:r>
          </w:p>
        </w:tc>
        <w:tc>
          <w:tcPr/>
          <w:p>
            <w:pPr>
              <w:pStyle w:val="Compact"/>
            </w:pPr>
            <w:r>
              <w:t xml:space="preserve">Weak fit for a product that does not own content or fulfilment margin</w:t>
            </w:r>
          </w:p>
        </w:tc>
        <w:tc>
          <w:tcPr/>
          <w:p>
            <w:pPr>
              <w:pStyle w:val="Compact"/>
            </w:pPr>
            <w:r>
              <w:t xml:space="preserve">Avoid as the primary model</w:t>
            </w:r>
          </w:p>
        </w:tc>
      </w:tr>
      <w:tr>
        <w:tc>
          <w:tcPr/>
          <w:p>
            <w:pPr>
              <w:pStyle w:val="Compact"/>
            </w:pPr>
            <w:r>
              <w:t xml:space="preserve">Hybrid</w:t>
            </w:r>
          </w:p>
        </w:tc>
        <w:tc>
          <w:tcPr/>
          <w:p>
            <w:pPr>
              <w:pStyle w:val="Compact"/>
            </w:pPr>
            <w:r>
              <w:t xml:space="preserve">Best fit for value delivered and segment diversity</w:t>
            </w:r>
          </w:p>
        </w:tc>
        <w:tc>
          <w:tcPr/>
          <w:p>
            <w:pPr>
              <w:pStyle w:val="Compact"/>
            </w:pPr>
            <w:r>
              <w:t xml:space="preserve">More design work for packaging and billing</w:t>
            </w:r>
          </w:p>
        </w:tc>
        <w:tc>
          <w:tcPr/>
          <w:p>
            <w:pPr>
              <w:pStyle w:val="Compact"/>
            </w:pPr>
            <w:r>
              <w:t xml:space="preserve">Recommended default</w:t>
            </w:r>
          </w:p>
        </w:tc>
      </w:tr>
    </w:tbl>
    <w:p>
      <w:pPr>
        <w:pStyle w:val="BodyText"/>
      </w:pPr>
      <w:r>
        <w:t xml:space="preserve">As a practical hypothesis, I would package the product in three ways.</w:t>
      </w:r>
      <w:r>
        <w:t xml:space="preserve"> </w:t>
      </w:r>
      <w:r>
        <w:rPr>
          <w:b/>
          <w:bCs/>
        </w:rPr>
        <w:t xml:space="preserve">Mid-market SaaS</w:t>
      </w:r>
      <w:r>
        <w:t xml:space="preserve">: annual platform fee plus active-traveller band and included policy-decision volume.</w:t>
      </w:r>
      <w:r>
        <w:t xml:space="preserve"> </w:t>
      </w:r>
      <w:r>
        <w:rPr>
          <w:b/>
          <w:bCs/>
        </w:rPr>
        <w:t xml:space="preserve">Enterprise</w:t>
      </w:r>
      <w:r>
        <w:t xml:space="preserve">: annual minimum commitment plus implementation, residency and advanced reporting modules.</w:t>
      </w:r>
      <w:r>
        <w:t xml:space="preserve"> </w:t>
      </w:r>
      <w:r>
        <w:rPr>
          <w:b/>
          <w:bCs/>
        </w:rPr>
        <w:t xml:space="preserve">TMC/OEM</w:t>
      </w:r>
      <w:r>
        <w:t xml:space="preserve">: client-count or traveller-band licensing plus white-label and environment fees. Those are recommendations, not market facts, but they fit better than downstream spend percentages for a policy product.</w:t>
      </w:r>
      <w:r>
        <w:t xml:space="preserve"> </w:t>
      </w:r>
      <w:hyperlink r:id="rId24">
        <w:r>
          <w:rPr>
            <w:rStyle w:val="Hyperlink"/>
          </w:rPr>
          <w:t xml:space="preserve">[67]</w:t>
        </w:r>
      </w:hyperlink>
    </w:p>
    <w:p>
      <w:pPr>
        <w:pStyle w:val="BodyText"/>
      </w:pPr>
      <w:r>
        <w:t xml:space="preserve">For</w:t>
      </w:r>
      <w:r>
        <w:t xml:space="preserve"> </w:t>
      </w:r>
      <w:r>
        <w:rPr>
          <w:b/>
          <w:bCs/>
        </w:rPr>
        <w:t xml:space="preserve">go-to-market</w:t>
      </w:r>
      <w:r>
        <w:t xml:space="preserve">, the sharpest initial motions are twofold. First, a direct sale into mid-market travel or finance teams that already have a booking tool but cannot encode their policies cleanly across legal entities, payment methods and approval chains. Second, a partner or OEM motion into TMCs, expense platforms, card providers or booking tools that want to upgrade policy control without rebuilding it. The official platform materials from and show that integrations with HR, ERP, duty-of-care and payments are central to modern travel architectures, which is exactly why a partner-led product can work.</w:t>
      </w:r>
      <w:r>
        <w:t xml:space="preserve"> </w:t>
      </w:r>
      <w:hyperlink r:id="rId25">
        <w:r>
          <w:rPr>
            <w:rStyle w:val="Hyperlink"/>
          </w:rPr>
          <w:t xml:space="preserve">[54]</w:t>
        </w:r>
      </w:hyperlink>
    </w:p>
    <w:p>
      <w:pPr>
        <w:pStyle w:val="BodyText"/>
      </w:pPr>
      <w:r>
        <w:t xml:space="preserve">The</w:t>
      </w:r>
      <w:r>
        <w:t xml:space="preserve"> </w:t>
      </w:r>
      <w:r>
        <w:rPr>
          <w:b/>
          <w:bCs/>
        </w:rPr>
        <w:t xml:space="preserve">recommended MVP</w:t>
      </w:r>
      <w:r>
        <w:t xml:space="preserve"> </w:t>
      </w:r>
      <w:r>
        <w:t xml:space="preserve">should be narrower than the full wishlist. It should include the canonical policy model; traveller, manager and legal-entity hierarchy; SCIM plus SAML/OIDC; synchronous decision APIs for search and pre-book checks; multi-level approval workflows with delegation and escalation; payment-profile enforcement including virtual-card routing; audit trail and policy versioning; webhook/event delivery; and core dashboards for approvals, overrides, compliance and spend exceptions. I would include carbon-policy fields and destination rules in the data model from day one, but keep their first release simple.</w:t>
      </w:r>
      <w:r>
        <w:t xml:space="preserve"> </w:t>
      </w:r>
      <w:hyperlink r:id="rId27">
        <w:r>
          <w:rPr>
            <w:rStyle w:val="Hyperlink"/>
          </w:rPr>
          <w:t xml:space="preserve">[68]</w:t>
        </w:r>
      </w:hyperlink>
    </w:p>
    <w:p>
      <w:pPr>
        <w:pStyle w:val="BodyText"/>
      </w:pPr>
      <w:r>
        <w:t xml:space="preserve">A sensible phased roadmap is:</w:t>
      </w:r>
    </w:p>
    <w:p>
      <w:pPr>
        <w:pStyle w:val="Compact"/>
        <w:numPr>
          <w:ilvl w:val="0"/>
          <w:numId w:val="1003"/>
        </w:numPr>
      </w:pPr>
      <w:r>
        <w:rPr>
          <w:b/>
          <w:bCs/>
        </w:rPr>
        <w:t xml:space="preserve">Foundation phase</w:t>
      </w:r>
      <w:r>
        <w:t xml:space="preserve">: identity, policy model, decision API, approvals, audit, reporting, one or two reference booking-tool integrations.</w:t>
      </w:r>
    </w:p>
    <w:p>
      <w:pPr>
        <w:pStyle w:val="Compact"/>
        <w:numPr>
          <w:ilvl w:val="0"/>
          <w:numId w:val="1003"/>
        </w:numPr>
      </w:pPr>
      <w:r>
        <w:rPr>
          <w:b/>
          <w:bCs/>
        </w:rPr>
        <w:t xml:space="preserve">Control phase</w:t>
      </w:r>
      <w:r>
        <w:t xml:space="preserve">: legal-entity complexity, negotiated-rate entitlements, advanced payment controls, ERP exports, improved simulation and policy diffing.</w:t>
      </w:r>
    </w:p>
    <w:p>
      <w:pPr>
        <w:pStyle w:val="Compact"/>
        <w:numPr>
          <w:ilvl w:val="0"/>
          <w:numId w:val="1003"/>
        </w:numPr>
      </w:pPr>
      <w:r>
        <w:rPr>
          <w:b/>
          <w:bCs/>
        </w:rPr>
        <w:t xml:space="preserve">Expansion phase</w:t>
      </w:r>
      <w:r>
        <w:t xml:space="preserve">: OEM white-label support, embedded policy widgets, richer destination and ESG logic, advanced finance reporting, broader marketplace integrations.</w:t>
      </w:r>
    </w:p>
    <w:p>
      <w:pPr>
        <w:pStyle w:val="Compact"/>
        <w:numPr>
          <w:ilvl w:val="0"/>
          <w:numId w:val="1003"/>
        </w:numPr>
      </w:pPr>
      <w:r>
        <w:rPr>
          <w:b/>
          <w:bCs/>
        </w:rPr>
        <w:t xml:space="preserve">Enterprise phase</w:t>
      </w:r>
      <w:r>
        <w:t xml:space="preserve">: data-residency options, delegated admin, sandbox environments, migration tooling, advanced governance and assurance artefacts.</w:t>
      </w:r>
      <w:r>
        <w:t xml:space="preserve"> </w:t>
      </w:r>
      <w:hyperlink r:id="rId31">
        <w:r>
          <w:rPr>
            <w:rStyle w:val="Hyperlink"/>
          </w:rPr>
          <w:t xml:space="preserve">[69]</w:t>
        </w:r>
      </w:hyperlink>
    </w:p>
    <w:p>
      <w:pPr>
        <w:pStyle w:val="FirstParagraph"/>
      </w:pPr>
      <w:r>
        <w:t xml:space="preserve">The main risks are manageable but real.</w:t>
      </w:r>
      <w:r>
        <w:t xml:space="preserve"> </w:t>
      </w:r>
      <w:r>
        <w:rPr>
          <w:b/>
          <w:bCs/>
        </w:rPr>
        <w:t xml:space="preserve">Bundling risk</w:t>
      </w:r>
      <w:r>
        <w:t xml:space="preserve"> </w:t>
      </w:r>
      <w:r>
        <w:t xml:space="preserve">is the biggest one: incumbents can always say “you already have policy in our suite”. The mitigation is to sell consistency across tools, not better booking features.</w:t>
      </w:r>
      <w:r>
        <w:t xml:space="preserve"> </w:t>
      </w:r>
      <w:r>
        <w:rPr>
          <w:b/>
          <w:bCs/>
        </w:rPr>
        <w:t xml:space="preserve">Integration risk</w:t>
      </w:r>
      <w:r>
        <w:t xml:space="preserve"> </w:t>
      </w:r>
      <w:r>
        <w:t xml:space="preserve">comes next: the product only works if booking tools and TMC flows can call it cleanly. The mitigation is a small number of excellent reference integrations and event contracts before broad ecosystem ambition.</w:t>
      </w:r>
      <w:r>
        <w:t xml:space="preserve"> </w:t>
      </w:r>
      <w:r>
        <w:rPr>
          <w:b/>
          <w:bCs/>
        </w:rPr>
        <w:t xml:space="preserve">Policy-correctness risk</w:t>
      </w:r>
      <w:r>
        <w:t xml:space="preserve"> </w:t>
      </w:r>
      <w:r>
        <w:t xml:space="preserve">is another: if the engine returns the wrong answer, trust collapses. The mitigation is simulation, regression testing, versioned rollout and explicit override/audit patterns.</w:t>
      </w:r>
      <w:r>
        <w:t xml:space="preserve"> </w:t>
      </w:r>
      <w:r>
        <w:rPr>
          <w:b/>
          <w:bCs/>
        </w:rPr>
        <w:t xml:space="preserve">Enterprise-ready risk</w:t>
      </w:r>
      <w:r>
        <w:t xml:space="preserve"> </w:t>
      </w:r>
      <w:r>
        <w:t xml:space="preserve">is a fourth: identity, residency, audit and procurement readiness are not optional in real deals. The mitigation is to build those aspects early, even if revenue comes from mid-market first.</w:t>
      </w:r>
      <w:r>
        <w:t xml:space="preserve"> </w:t>
      </w:r>
      <w:hyperlink r:id="rId49">
        <w:r>
          <w:rPr>
            <w:rStyle w:val="Hyperlink"/>
          </w:rPr>
          <w:t xml:space="preserve">[70]</w:t>
        </w:r>
      </w:hyperlink>
    </w:p>
    <w:bookmarkEnd w:id="65"/>
    <w:bookmarkEnd w:id="66"/>
    <w:bookmarkStart w:id="69" w:name="open-questions-and-limitations"/>
    <w:p>
      <w:pPr>
        <w:pStyle w:val="Heading2"/>
      </w:pPr>
      <w:r>
        <w:t xml:space="preserve">Open questions and limitations</w:t>
      </w:r>
    </w:p>
    <w:p>
      <w:pPr>
        <w:pStyle w:val="FirstParagraph"/>
      </w:pPr>
      <w:r>
        <w:t xml:space="preserve">Several commercially important variables were left open by design: target region, number of countries, number of booking-tool integrations, transaction volume, residency requirements, and whether the product would be sold directly, via TMCs, or both. Those choices materially affect product depth, compliance scope and time to market. A single-region mid-market product with one strong booking integration is much easier than a multinational enterprise overlay with complex residency and finance requirements.</w:t>
      </w:r>
      <w:r>
        <w:t xml:space="preserve"> </w:t>
      </w:r>
      <w:hyperlink r:id="rId67">
        <w:r>
          <w:rPr>
            <w:rStyle w:val="Hyperlink"/>
          </w:rPr>
          <w:t xml:space="preserve">[71]</w:t>
        </w:r>
      </w:hyperlink>
    </w:p>
    <w:p>
      <w:pPr>
        <w:pStyle w:val="BodyText"/>
      </w:pPr>
      <w:r>
        <w:t xml:space="preserve">Pricing transparency across the incumbent market is also incomplete. offers the clearest public plan pricing in the reviewed sources. urlNavanturn0search1 publishes a pricing entry point but not a simple standard tariff. For urlSAP Concurturn0search0, urlSpotnanaturn1search8 and urlSerkoturn1search1, the reviewed official material was primarily product- or demo-led rather than openly priced. That means commercial recommendations in this report are analytical pricing designs, not reverse-engineered competitor rate cards.</w:t>
      </w:r>
      <w:r>
        <w:t xml:space="preserve"> </w:t>
      </w:r>
      <w:hyperlink r:id="rId24">
        <w:r>
          <w:rPr>
            <w:rStyle w:val="Hyperlink"/>
          </w:rPr>
          <w:t xml:space="preserve">[72]</w:t>
        </w:r>
      </w:hyperlink>
    </w:p>
    <w:p>
      <w:pPr>
        <w:pStyle w:val="BodyText"/>
      </w:pPr>
      <w:r>
        <w:t xml:space="preserve">Overall, the opportunity is strongest if you build a</w:t>
      </w:r>
      <w:r>
        <w:t xml:space="preserve"> </w:t>
      </w:r>
      <w:r>
        <w:rPr>
          <w:b/>
          <w:bCs/>
        </w:rPr>
        <w:t xml:space="preserve">neutral, API-first, policy-and-approvals control plane for travel</w:t>
      </w:r>
      <w:r>
        <w:t xml:space="preserve">, target mid-market and TMC/OEM use cases first, and treat identity, audit, payment-policy control and simulation as first-order capabilities rather than add-ons. That is the version of the idea most likely to be both defensible and operationally efficient.</w:t>
      </w:r>
      <w:r>
        <w:t xml:space="preserve"> </w:t>
      </w:r>
      <w:hyperlink r:id="rId68">
        <w:r>
          <w:rPr>
            <w:rStyle w:val="Hyperlink"/>
          </w:rPr>
          <w:t xml:space="preserve">[73]</w:t>
        </w:r>
      </w:hyperlink>
    </w:p>
    <w:bookmarkEnd w:id="69"/>
    <w:bookmarkEnd w:id="70"/>
    <w:bookmarkEnd w:id="71"/>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1">
        <w:r>
          <w:rPr>
            <w:rStyle w:val="Hyperlink"/>
          </w:rPr>
          <w:t xml:space="preserve">[66]</w:t>
        </w:r>
      </w:hyperlink>
      <w:r>
        <w:t xml:space="preserve"> </w:t>
      </w:r>
      <w:r>
        <w:t xml:space="preserve">https://docs.aws.amazon.com/whitepapers/latest/navigating-gdpr-compliance/shared-security-responsibility-model.html</w:t>
      </w:r>
    </w:p>
    <w:p>
      <w:pPr>
        <w:pStyle w:val="BodyText"/>
      </w:pPr>
      <w:hyperlink r:id="rId21">
        <w:r>
          <w:rPr>
            <w:rStyle w:val="Hyperlink"/>
          </w:rPr>
          <w:t xml:space="preserve">https://docs.aws.amazon.com/whitepapers/latest/navigating-gdpr-compliance/shared-security-responsibility-model.html</w:t>
        </w:r>
      </w:hyperlink>
    </w:p>
    <w:p>
      <w:pPr>
        <w:pStyle w:val="BodyText"/>
      </w:pPr>
      <w:hyperlink r:id="rId22">
        <w:r>
          <w:rPr>
            <w:rStyle w:val="Hyperlink"/>
          </w:rPr>
          <w:t xml:space="preserve">[2]</w:t>
        </w:r>
      </w:hyperlink>
      <w:r>
        <w:t xml:space="preserve"> </w:t>
      </w:r>
      <w:r>
        <w:t xml:space="preserve">https://gbta.org/global-business-travel-spending-to-reach-1-57-trillion-in-2025-amid-trade-policy-uncertainty-and-economic-risk-according-to-new-gbta-forecast/</w:t>
      </w:r>
    </w:p>
    <w:p>
      <w:pPr>
        <w:pStyle w:val="BodyText"/>
      </w:pPr>
      <w:hyperlink r:id="rId22">
        <w:r>
          <w:rPr>
            <w:rStyle w:val="Hyperlink"/>
          </w:rPr>
          <w:t xml:space="preserve">https://gbta.org/global-business-travel-spending-to-reach-1-57-trillion-in-2025-amid-trade-policy-uncertainty-and-economic-risk-according-to-new-gbta-forecast/</w:t>
        </w:r>
      </w:hyperlink>
    </w:p>
    <w:p>
      <w:pPr>
        <w:pStyle w:val="BodyText"/>
      </w:pPr>
      <w:hyperlink r:id="rId23">
        <w:r>
          <w:rPr>
            <w:rStyle w:val="Hyperlink"/>
          </w:rPr>
          <w:t xml:space="preserve">[3]</w:t>
        </w:r>
      </w:hyperlink>
      <w:r>
        <w:t xml:space="preserve"> </w:t>
      </w:r>
      <w:hyperlink r:id="rId23">
        <w:r>
          <w:rPr>
            <w:rStyle w:val="Hyperlink"/>
          </w:rPr>
          <w:t xml:space="preserve">[12]</w:t>
        </w:r>
      </w:hyperlink>
      <w:r>
        <w:t xml:space="preserve"> </w:t>
      </w:r>
      <w:r>
        <w:t xml:space="preserve">https://gbta.org/travel-professionals-accept-direct-booking-is-here-to-stay-work-to-gain-visibility-into-cost-savings-and-risk-management/</w:t>
      </w:r>
    </w:p>
    <w:p>
      <w:pPr>
        <w:pStyle w:val="BodyText"/>
      </w:pPr>
      <w:hyperlink r:id="rId23">
        <w:r>
          <w:rPr>
            <w:rStyle w:val="Hyperlink"/>
          </w:rPr>
          <w:t xml:space="preserve">https://gbta.org/travel-professionals-accept-direct-booking-is-here-to-stay-work-to-gain-visibility-into-cost-savings-and-risk-management/</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hyperlink r:id="rId24">
        <w:r>
          <w:rPr>
            <w:rStyle w:val="Hyperlink"/>
          </w:rPr>
          <w:t xml:space="preserve">[13]</w:t>
        </w:r>
      </w:hyperlink>
      <w:r>
        <w:t xml:space="preserve"> </w:t>
      </w:r>
      <w:hyperlink r:id="rId24">
        <w:r>
          <w:rPr>
            <w:rStyle w:val="Hyperlink"/>
          </w:rPr>
          <w:t xml:space="preserve">[19]</w:t>
        </w:r>
      </w:hyperlink>
      <w:r>
        <w:t xml:space="preserve"> </w:t>
      </w:r>
      <w:hyperlink r:id="rId24">
        <w:r>
          <w:rPr>
            <w:rStyle w:val="Hyperlink"/>
          </w:rPr>
          <w:t xml:space="preserve">[21]</w:t>
        </w:r>
      </w:hyperlink>
      <w:r>
        <w:t xml:space="preserve"> </w:t>
      </w:r>
      <w:hyperlink r:id="rId24">
        <w:r>
          <w:rPr>
            <w:rStyle w:val="Hyperlink"/>
          </w:rPr>
          <w:t xml:space="preserve">[30]</w:t>
        </w:r>
      </w:hyperlink>
      <w:r>
        <w:t xml:space="preserve"> </w:t>
      </w:r>
      <w:hyperlink r:id="rId24">
        <w:r>
          <w:rPr>
            <w:rStyle w:val="Hyperlink"/>
          </w:rPr>
          <w:t xml:space="preserve">[47]</w:t>
        </w:r>
      </w:hyperlink>
      <w:r>
        <w:t xml:space="preserve"> </w:t>
      </w:r>
      <w:hyperlink r:id="rId24">
        <w:r>
          <w:rPr>
            <w:rStyle w:val="Hyperlink"/>
          </w:rPr>
          <w:t xml:space="preserve">[48]</w:t>
        </w:r>
      </w:hyperlink>
      <w:r>
        <w:t xml:space="preserve"> </w:t>
      </w:r>
      <w:hyperlink r:id="rId24">
        <w:r>
          <w:rPr>
            <w:rStyle w:val="Hyperlink"/>
          </w:rPr>
          <w:t xml:space="preserve">[67]</w:t>
        </w:r>
      </w:hyperlink>
      <w:r>
        <w:t xml:space="preserve"> </w:t>
      </w:r>
      <w:hyperlink r:id="rId24">
        <w:r>
          <w:rPr>
            <w:rStyle w:val="Hyperlink"/>
          </w:rPr>
          <w:t xml:space="preserve">[72]</w:t>
        </w:r>
      </w:hyperlink>
      <w:r>
        <w:t xml:space="preserve"> </w:t>
      </w:r>
      <w:r>
        <w:t xml:space="preserve">https://www.travelperk.com/pricing/</w:t>
      </w:r>
    </w:p>
    <w:p>
      <w:pPr>
        <w:pStyle w:val="BodyText"/>
      </w:pPr>
      <w:hyperlink r:id="rId24">
        <w:r>
          <w:rPr>
            <w:rStyle w:val="Hyperlink"/>
          </w:rPr>
          <w:t xml:space="preserve">https://www.travelperk.com/pricing/</w:t>
        </w:r>
      </w:hyperlink>
    </w:p>
    <w:p>
      <w:pPr>
        <w:pStyle w:val="BodyText"/>
      </w:pPr>
      <w:hyperlink r:id="rId25">
        <w:r>
          <w:rPr>
            <w:rStyle w:val="Hyperlink"/>
          </w:rPr>
          <w:t xml:space="preserve">[5]</w:t>
        </w:r>
      </w:hyperlink>
      <w:r>
        <w:t xml:space="preserve"> </w:t>
      </w:r>
      <w:hyperlink r:id="rId25">
        <w:r>
          <w:rPr>
            <w:rStyle w:val="Hyperlink"/>
          </w:rPr>
          <w:t xml:space="preserve">[10]</w:t>
        </w:r>
      </w:hyperlink>
      <w:r>
        <w:t xml:space="preserve"> </w:t>
      </w:r>
      <w:hyperlink r:id="rId25">
        <w:r>
          <w:rPr>
            <w:rStyle w:val="Hyperlink"/>
          </w:rPr>
          <w:t xml:space="preserve">[40]</w:t>
        </w:r>
      </w:hyperlink>
      <w:r>
        <w:t xml:space="preserve"> </w:t>
      </w:r>
      <w:hyperlink r:id="rId25">
        <w:r>
          <w:rPr>
            <w:rStyle w:val="Hyperlink"/>
          </w:rPr>
          <w:t xml:space="preserve">[54]</w:t>
        </w:r>
      </w:hyperlink>
      <w:r>
        <w:t xml:space="preserve"> </w:t>
      </w:r>
      <w:r>
        <w:t xml:space="preserve">https://www.spotnana.com/blog/your-corporate-travel-program-needs-an-open-travel-platform/</w:t>
      </w:r>
    </w:p>
    <w:p>
      <w:pPr>
        <w:pStyle w:val="BodyText"/>
      </w:pPr>
      <w:hyperlink r:id="rId25">
        <w:r>
          <w:rPr>
            <w:rStyle w:val="Hyperlink"/>
          </w:rPr>
          <w:t xml:space="preserve">https://www.spotnana.com/blog/your-corporate-travel-program-needs-an-open-travel-platform/</w:t>
        </w:r>
      </w:hyperlink>
    </w:p>
    <w:p>
      <w:pPr>
        <w:pStyle w:val="BodyText"/>
      </w:pPr>
      <w:hyperlink r:id="rId26">
        <w:r>
          <w:rPr>
            <w:rStyle w:val="Hyperlink"/>
          </w:rPr>
          <w:t xml:space="preserve">[6]</w:t>
        </w:r>
      </w:hyperlink>
      <w:r>
        <w:t xml:space="preserve"> </w:t>
      </w:r>
      <w:hyperlink r:id="rId26">
        <w:r>
          <w:rPr>
            <w:rStyle w:val="Hyperlink"/>
          </w:rPr>
          <w:t xml:space="preserve">[8]</w:t>
        </w:r>
      </w:hyperlink>
      <w:r>
        <w:t xml:space="preserve"> </w:t>
      </w:r>
      <w:hyperlink r:id="rId26">
        <w:r>
          <w:rPr>
            <w:rStyle w:val="Hyperlink"/>
          </w:rPr>
          <w:t xml:space="preserve">[50]</w:t>
        </w:r>
      </w:hyperlink>
      <w:r>
        <w:t xml:space="preserve"> </w:t>
      </w:r>
      <w:r>
        <w:t xml:space="preserve">Get started - IDE - Docs</w:t>
      </w:r>
    </w:p>
    <w:p>
      <w:pPr>
        <w:pStyle w:val="BodyText"/>
      </w:pPr>
      <w:hyperlink r:id="rId26">
        <w:r>
          <w:rPr>
            <w:rStyle w:val="Hyperlink"/>
          </w:rPr>
          <w:t xml:space="preserve">https://kiro.dev/docs/?utm_source=chatgpt.com</w:t>
        </w:r>
      </w:hyperlink>
    </w:p>
    <w:p>
      <w:pPr>
        <w:pStyle w:val="BodyText"/>
      </w:pPr>
      <w:hyperlink r:id="rId27">
        <w:r>
          <w:rPr>
            <w:rStyle w:val="Hyperlink"/>
          </w:rPr>
          <w:t xml:space="preserve">[7]</w:t>
        </w:r>
      </w:hyperlink>
      <w:r>
        <w:t xml:space="preserve"> </w:t>
      </w:r>
      <w:hyperlink r:id="rId27">
        <w:r>
          <w:rPr>
            <w:rStyle w:val="Hyperlink"/>
          </w:rPr>
          <w:t xml:space="preserve">[55]</w:t>
        </w:r>
      </w:hyperlink>
      <w:r>
        <w:t xml:space="preserve"> </w:t>
      </w:r>
      <w:hyperlink r:id="rId27">
        <w:r>
          <w:rPr>
            <w:rStyle w:val="Hyperlink"/>
          </w:rPr>
          <w:t xml:space="preserve">[68]</w:t>
        </w:r>
      </w:hyperlink>
      <w:r>
        <w:t xml:space="preserve"> </w:t>
      </w:r>
      <w:r>
        <w:t xml:space="preserve">RFC 7644 - System for Cross-domain Identity Management</w:t>
      </w:r>
    </w:p>
    <w:p>
      <w:pPr>
        <w:pStyle w:val="BodyText"/>
      </w:pPr>
      <w:hyperlink r:id="rId27">
        <w:r>
          <w:rPr>
            <w:rStyle w:val="Hyperlink"/>
          </w:rPr>
          <w:t xml:space="preserve">https://datatracker.ietf.org/doc/html/rfc7644?utm_source=chatgpt.com</w:t>
        </w:r>
      </w:hyperlink>
    </w:p>
    <w:p>
      <w:pPr>
        <w:pStyle w:val="BodyText"/>
      </w:pPr>
      <w:hyperlink r:id="rId29">
        <w:r>
          <w:rPr>
            <w:rStyle w:val="Hyperlink"/>
          </w:rPr>
          <w:t xml:space="preserve">[11]</w:t>
        </w:r>
      </w:hyperlink>
      <w:r>
        <w:t xml:space="preserve"> </w:t>
      </w:r>
      <w:hyperlink r:id="rId29">
        <w:r>
          <w:rPr>
            <w:rStyle w:val="Hyperlink"/>
          </w:rPr>
          <w:t xml:space="preserve">[14]</w:t>
        </w:r>
      </w:hyperlink>
      <w:r>
        <w:t xml:space="preserve"> </w:t>
      </w:r>
      <w:hyperlink r:id="rId29">
        <w:r>
          <w:rPr>
            <w:rStyle w:val="Hyperlink"/>
          </w:rPr>
          <w:t xml:space="preserve">[15]</w:t>
        </w:r>
      </w:hyperlink>
      <w:r>
        <w:t xml:space="preserve"> </w:t>
      </w:r>
      <w:hyperlink r:id="rId29">
        <w:r>
          <w:rPr>
            <w:rStyle w:val="Hyperlink"/>
          </w:rPr>
          <w:t xml:space="preserve">[38]</w:t>
        </w:r>
      </w:hyperlink>
      <w:r>
        <w:t xml:space="preserve"> </w:t>
      </w:r>
      <w:hyperlink r:id="rId29">
        <w:r>
          <w:rPr>
            <w:rStyle w:val="Hyperlink"/>
          </w:rPr>
          <w:t xml:space="preserve">[57]</w:t>
        </w:r>
      </w:hyperlink>
      <w:r>
        <w:t xml:space="preserve"> </w:t>
      </w:r>
      <w:hyperlink r:id="rId29">
        <w:r>
          <w:rPr>
            <w:rStyle w:val="Hyperlink"/>
          </w:rPr>
          <w:t xml:space="preserve">[58]</w:t>
        </w:r>
      </w:hyperlink>
      <w:r>
        <w:t xml:space="preserve"> </w:t>
      </w:r>
      <w:r>
        <w:t xml:space="preserve">Trip Approval</w:t>
      </w:r>
    </w:p>
    <w:p>
      <w:pPr>
        <w:pStyle w:val="BodyText"/>
      </w:pPr>
      <w:hyperlink r:id="rId29">
        <w:r>
          <w:rPr>
            <w:rStyle w:val="Hyperlink"/>
          </w:rPr>
          <w:t xml:space="preserve">https://www.concur.com/products/trip-approval?utm_source=chatgpt.com</w:t>
        </w:r>
      </w:hyperlink>
    </w:p>
    <w:p>
      <w:pPr>
        <w:pStyle w:val="BodyText"/>
      </w:pPr>
      <w:hyperlink r:id="rId30">
        <w:r>
          <w:rPr>
            <w:rStyle w:val="Hyperlink"/>
          </w:rPr>
          <w:t xml:space="preserve">[16]</w:t>
        </w:r>
      </w:hyperlink>
      <w:r>
        <w:t xml:space="preserve"> </w:t>
      </w:r>
      <w:r>
        <w:t xml:space="preserve">Travel and Expense Policy Best Practices for Finance Teams</w:t>
      </w:r>
    </w:p>
    <w:p>
      <w:pPr>
        <w:pStyle w:val="BodyText"/>
      </w:pPr>
      <w:hyperlink r:id="rId30">
        <w:r>
          <w:rPr>
            <w:rStyle w:val="Hyperlink"/>
          </w:rPr>
          <w:t xml:space="preserve">https://navan.com/blog/travel-and-expense-policy-best-practices?utm_source=chatgpt.com</w:t>
        </w:r>
      </w:hyperlink>
    </w:p>
    <w:p>
      <w:pPr>
        <w:pStyle w:val="BodyText"/>
      </w:pPr>
      <w:hyperlink r:id="rId31">
        <w:r>
          <w:rPr>
            <w:rStyle w:val="Hyperlink"/>
          </w:rPr>
          <w:t xml:space="preserve">[17]</w:t>
        </w:r>
      </w:hyperlink>
      <w:r>
        <w:t xml:space="preserve"> </w:t>
      </w:r>
      <w:hyperlink r:id="rId31">
        <w:r>
          <w:rPr>
            <w:rStyle w:val="Hyperlink"/>
          </w:rPr>
          <w:t xml:space="preserve">[52]</w:t>
        </w:r>
      </w:hyperlink>
      <w:r>
        <w:t xml:space="preserve"> </w:t>
      </w:r>
      <w:hyperlink r:id="rId31">
        <w:r>
          <w:rPr>
            <w:rStyle w:val="Hyperlink"/>
          </w:rPr>
          <w:t xml:space="preserve">[61]</w:t>
        </w:r>
      </w:hyperlink>
      <w:r>
        <w:t xml:space="preserve"> </w:t>
      </w:r>
      <w:hyperlink r:id="rId31">
        <w:r>
          <w:rPr>
            <w:rStyle w:val="Hyperlink"/>
          </w:rPr>
          <w:t xml:space="preserve">[69]</w:t>
        </w:r>
      </w:hyperlink>
      <w:r>
        <w:t xml:space="preserve"> </w:t>
      </w:r>
      <w:r>
        <w:t xml:space="preserve">https://navan.com/uk/integrations</w:t>
      </w:r>
    </w:p>
    <w:p>
      <w:pPr>
        <w:pStyle w:val="BodyText"/>
      </w:pPr>
      <w:hyperlink r:id="rId31">
        <w:r>
          <w:rPr>
            <w:rStyle w:val="Hyperlink"/>
          </w:rPr>
          <w:t xml:space="preserve">https://navan.com/uk/integrations</w:t>
        </w:r>
      </w:hyperlink>
    </w:p>
    <w:p>
      <w:pPr>
        <w:pStyle w:val="BodyText"/>
      </w:pPr>
      <w:hyperlink r:id="rId32">
        <w:r>
          <w:rPr>
            <w:rStyle w:val="Hyperlink"/>
          </w:rPr>
          <w:t xml:space="preserve">[18]</w:t>
        </w:r>
      </w:hyperlink>
      <w:r>
        <w:t xml:space="preserve"> </w:t>
      </w:r>
      <w:hyperlink r:id="rId32">
        <w:r>
          <w:rPr>
            <w:rStyle w:val="Hyperlink"/>
          </w:rPr>
          <w:t xml:space="preserve">[46]</w:t>
        </w:r>
      </w:hyperlink>
      <w:r>
        <w:t xml:space="preserve"> </w:t>
      </w:r>
      <w:r>
        <w:t xml:space="preserve">Navan Pricing: Your Travel &amp; Expense Management ...</w:t>
      </w:r>
    </w:p>
    <w:p>
      <w:pPr>
        <w:pStyle w:val="BodyText"/>
      </w:pPr>
      <w:hyperlink r:id="rId32">
        <w:r>
          <w:rPr>
            <w:rStyle w:val="Hyperlink"/>
          </w:rPr>
          <w:t xml:space="preserve">https://navan.com/uk/pricing?utm_source=chatgpt.com</w:t>
        </w:r>
      </w:hyperlink>
    </w:p>
    <w:p>
      <w:pPr>
        <w:pStyle w:val="BodyText"/>
      </w:pPr>
      <w:hyperlink r:id="rId33">
        <w:r>
          <w:rPr>
            <w:rStyle w:val="Hyperlink"/>
          </w:rPr>
          <w:t xml:space="preserve">[20]</w:t>
        </w:r>
      </w:hyperlink>
      <w:r>
        <w:t xml:space="preserve"> </w:t>
      </w:r>
      <w:hyperlink r:id="rId33">
        <w:r>
          <w:rPr>
            <w:rStyle w:val="Hyperlink"/>
          </w:rPr>
          <w:t xml:space="preserve">[64]</w:t>
        </w:r>
      </w:hyperlink>
      <w:r>
        <w:t xml:space="preserve"> </w:t>
      </w:r>
      <w:r>
        <w:t xml:space="preserve">https://www.travelperk.com/uk/travel-solutions/marketplace/</w:t>
      </w:r>
    </w:p>
    <w:p>
      <w:pPr>
        <w:pStyle w:val="BodyText"/>
      </w:pPr>
      <w:hyperlink r:id="rId33">
        <w:r>
          <w:rPr>
            <w:rStyle w:val="Hyperlink"/>
          </w:rPr>
          <w:t xml:space="preserve">https://www.travelperk.com/uk/travel-solutions/marketplace/</w:t>
        </w:r>
      </w:hyperlink>
    </w:p>
    <w:p>
      <w:pPr>
        <w:pStyle w:val="BodyText"/>
      </w:pPr>
      <w:hyperlink r:id="rId34">
        <w:r>
          <w:rPr>
            <w:rStyle w:val="Hyperlink"/>
          </w:rPr>
          <w:t xml:space="preserve">[22]</w:t>
        </w:r>
      </w:hyperlink>
      <w:r>
        <w:t xml:space="preserve"> </w:t>
      </w:r>
      <w:hyperlink r:id="rId34">
        <w:r>
          <w:rPr>
            <w:rStyle w:val="Hyperlink"/>
          </w:rPr>
          <w:t xml:space="preserve">[31]</w:t>
        </w:r>
      </w:hyperlink>
      <w:r>
        <w:t xml:space="preserve"> </w:t>
      </w:r>
      <w:hyperlink r:id="rId34">
        <w:r>
          <w:rPr>
            <w:rStyle w:val="Hyperlink"/>
          </w:rPr>
          <w:t xml:space="preserve">[33]</w:t>
        </w:r>
      </w:hyperlink>
      <w:r>
        <w:t xml:space="preserve"> </w:t>
      </w:r>
      <w:r>
        <w:t xml:space="preserve">Benefits of agents and travelers on one platform</w:t>
      </w:r>
    </w:p>
    <w:p>
      <w:pPr>
        <w:pStyle w:val="BodyText"/>
      </w:pPr>
      <w:hyperlink r:id="rId34">
        <w:r>
          <w:rPr>
            <w:rStyle w:val="Hyperlink"/>
          </w:rPr>
          <w:t xml:space="preserve">https://www.spotnana.com/blog/agents-travelers/?utm_source=chatgpt.com</w:t>
        </w:r>
      </w:hyperlink>
    </w:p>
    <w:p>
      <w:pPr>
        <w:pStyle w:val="BodyText"/>
      </w:pPr>
      <w:hyperlink r:id="rId35">
        <w:r>
          <w:rPr>
            <w:rStyle w:val="Hyperlink"/>
          </w:rPr>
          <w:t xml:space="preserve">[23]</w:t>
        </w:r>
      </w:hyperlink>
      <w:r>
        <w:t xml:space="preserve"> </w:t>
      </w:r>
      <w:hyperlink r:id="rId35">
        <w:r>
          <w:rPr>
            <w:rStyle w:val="Hyperlink"/>
          </w:rPr>
          <w:t xml:space="preserve">[29]</w:t>
        </w:r>
      </w:hyperlink>
      <w:r>
        <w:t xml:space="preserve"> </w:t>
      </w:r>
      <w:r>
        <w:t xml:space="preserve">The benefits of an API-first architecture for travel</w:t>
      </w:r>
    </w:p>
    <w:p>
      <w:pPr>
        <w:pStyle w:val="BodyText"/>
      </w:pPr>
      <w:hyperlink r:id="rId35">
        <w:r>
          <w:rPr>
            <w:rStyle w:val="Hyperlink"/>
          </w:rPr>
          <w:t xml:space="preserve">https://www.spotnana.com/blog/benefits-api-architecture/?utm_source=chatgpt.com</w:t>
        </w:r>
      </w:hyperlink>
    </w:p>
    <w:p>
      <w:pPr>
        <w:pStyle w:val="BodyText"/>
      </w:pPr>
      <w:hyperlink r:id="rId36">
        <w:r>
          <w:rPr>
            <w:rStyle w:val="Hyperlink"/>
          </w:rPr>
          <w:t xml:space="preserve">[24]</w:t>
        </w:r>
      </w:hyperlink>
      <w:r>
        <w:t xml:space="preserve"> </w:t>
      </w:r>
      <w:r>
        <w:t xml:space="preserve">What exactly is Spotnana?</w:t>
      </w:r>
    </w:p>
    <w:p>
      <w:pPr>
        <w:pStyle w:val="BodyText"/>
      </w:pPr>
      <w:hyperlink r:id="rId36">
        <w:r>
          <w:rPr>
            <w:rStyle w:val="Hyperlink"/>
          </w:rPr>
          <w:t xml:space="preserve">https://www.spotnana.com/blog/what-exactly-is-spotnana/?utm_source=chatgpt.com</w:t>
        </w:r>
      </w:hyperlink>
    </w:p>
    <w:p>
      <w:pPr>
        <w:pStyle w:val="BodyText"/>
      </w:pPr>
      <w:hyperlink r:id="rId37">
        <w:r>
          <w:rPr>
            <w:rStyle w:val="Hyperlink"/>
          </w:rPr>
          <w:t xml:space="preserve">[25]</w:t>
        </w:r>
      </w:hyperlink>
      <w:r>
        <w:t xml:space="preserve"> </w:t>
      </w:r>
      <w:hyperlink r:id="rId37">
        <w:r>
          <w:rPr>
            <w:rStyle w:val="Hyperlink"/>
          </w:rPr>
          <w:t xml:space="preserve">[27]</w:t>
        </w:r>
      </w:hyperlink>
      <w:r>
        <w:t xml:space="preserve"> </w:t>
      </w:r>
      <w:hyperlink r:id="rId37">
        <w:r>
          <w:rPr>
            <w:rStyle w:val="Hyperlink"/>
          </w:rPr>
          <w:t xml:space="preserve">[34]</w:t>
        </w:r>
      </w:hyperlink>
      <w:r>
        <w:t xml:space="preserve"> </w:t>
      </w:r>
      <w:r>
        <w:t xml:space="preserve">Cost Control &amp; Compliance - For Corporate Travel - Zeno</w:t>
      </w:r>
    </w:p>
    <w:p>
      <w:pPr>
        <w:pStyle w:val="BodyText"/>
      </w:pPr>
      <w:hyperlink r:id="rId37">
        <w:r>
          <w:rPr>
            <w:rStyle w:val="Hyperlink"/>
          </w:rPr>
          <w:t xml:space="preserve">https://www.serko.com/zeno/travel/cost-control?utm_source=chatgpt.com</w:t>
        </w:r>
      </w:hyperlink>
    </w:p>
    <w:p>
      <w:pPr>
        <w:pStyle w:val="BodyText"/>
      </w:pPr>
      <w:hyperlink r:id="rId38">
        <w:r>
          <w:rPr>
            <w:rStyle w:val="Hyperlink"/>
          </w:rPr>
          <w:t xml:space="preserve">[26]</w:t>
        </w:r>
      </w:hyperlink>
      <w:r>
        <w:t xml:space="preserve"> </w:t>
      </w:r>
      <w:r>
        <w:t xml:space="preserve">Corporate Travel Booking Choices - NDC, GDS &amp; More</w:t>
      </w:r>
    </w:p>
    <w:p>
      <w:pPr>
        <w:pStyle w:val="BodyText"/>
      </w:pPr>
      <w:hyperlink r:id="rId38">
        <w:r>
          <w:rPr>
            <w:rStyle w:val="Hyperlink"/>
          </w:rPr>
          <w:t xml:space="preserve">https://www.serko.com/zeno/travel/booking-choices?utm_source=chatgpt.com</w:t>
        </w:r>
      </w:hyperlink>
    </w:p>
    <w:p>
      <w:pPr>
        <w:pStyle w:val="BodyText"/>
      </w:pPr>
      <w:hyperlink r:id="rId39">
        <w:r>
          <w:rPr>
            <w:rStyle w:val="Hyperlink"/>
          </w:rPr>
          <w:t xml:space="preserve">[28]</w:t>
        </w:r>
      </w:hyperlink>
      <w:r>
        <w:t xml:space="preserve"> </w:t>
      </w:r>
      <w:r>
        <w:t xml:space="preserve">Travel-as-a-Service | Spotnana</w:t>
      </w:r>
    </w:p>
    <w:p>
      <w:pPr>
        <w:pStyle w:val="BodyText"/>
      </w:pPr>
      <w:hyperlink r:id="rId39">
        <w:r>
          <w:rPr>
            <w:rStyle w:val="Hyperlink"/>
          </w:rPr>
          <w:t xml:space="preserve">https://www.spotnana.com/blog/what-is-travel-as-a-service/?utm_source=chatgpt.com</w:t>
        </w:r>
      </w:hyperlink>
    </w:p>
    <w:p>
      <w:pPr>
        <w:pStyle w:val="BodyText"/>
      </w:pPr>
      <w:hyperlink r:id="rId42">
        <w:r>
          <w:rPr>
            <w:rStyle w:val="Hyperlink"/>
          </w:rPr>
          <w:t xml:space="preserve">[32]</w:t>
        </w:r>
      </w:hyperlink>
      <w:r>
        <w:t xml:space="preserve"> </w:t>
      </w:r>
      <w:r>
        <w:t xml:space="preserve">Zeno Travel Features - The Full Listing</w:t>
      </w:r>
    </w:p>
    <w:p>
      <w:pPr>
        <w:pStyle w:val="BodyText"/>
      </w:pPr>
      <w:hyperlink r:id="rId42">
        <w:r>
          <w:rPr>
            <w:rStyle w:val="Hyperlink"/>
          </w:rPr>
          <w:t xml:space="preserve">https://www.serko.com/zeno/travel/feature-list?utm_source=chatgpt.com</w:t>
        </w:r>
      </w:hyperlink>
    </w:p>
    <w:p>
      <w:pPr>
        <w:pStyle w:val="BodyText"/>
      </w:pPr>
      <w:hyperlink r:id="rId43">
        <w:r>
          <w:rPr>
            <w:rStyle w:val="Hyperlink"/>
          </w:rPr>
          <w:t xml:space="preserve">[35]</w:t>
        </w:r>
      </w:hyperlink>
      <w:r>
        <w:t xml:space="preserve"> </w:t>
      </w:r>
      <w:r>
        <w:t xml:space="preserve">https://navan.com/uk/product/payments</w:t>
      </w:r>
    </w:p>
    <w:p>
      <w:pPr>
        <w:pStyle w:val="BodyText"/>
      </w:pPr>
      <w:hyperlink r:id="rId43">
        <w:r>
          <w:rPr>
            <w:rStyle w:val="Hyperlink"/>
          </w:rPr>
          <w:t xml:space="preserve">https://navan.com/uk/product/payments</w:t>
        </w:r>
      </w:hyperlink>
    </w:p>
    <w:p>
      <w:pPr>
        <w:pStyle w:val="BodyText"/>
      </w:pPr>
      <w:hyperlink r:id="rId44">
        <w:r>
          <w:rPr>
            <w:rStyle w:val="Hyperlink"/>
          </w:rPr>
          <w:t xml:space="preserve">[36]</w:t>
        </w:r>
      </w:hyperlink>
      <w:r>
        <w:t xml:space="preserve"> </w:t>
      </w:r>
      <w:hyperlink r:id="rId44">
        <w:r>
          <w:rPr>
            <w:rStyle w:val="Hyperlink"/>
          </w:rPr>
          <w:t xml:space="preserve">[60]</w:t>
        </w:r>
      </w:hyperlink>
      <w:r>
        <w:t xml:space="preserve"> </w:t>
      </w:r>
      <w:r>
        <w:t xml:space="preserve">https://www.concur.com/blog/article/reach-sustainability-goals-responsible-travel-spending</w:t>
      </w:r>
    </w:p>
    <w:p>
      <w:pPr>
        <w:pStyle w:val="BodyText"/>
      </w:pPr>
      <w:hyperlink r:id="rId44">
        <w:r>
          <w:rPr>
            <w:rStyle w:val="Hyperlink"/>
          </w:rPr>
          <w:t xml:space="preserve">https://www.concur.com/blog/article/reach-sustainability-goals-responsible-travel-spending</w:t>
        </w:r>
      </w:hyperlink>
    </w:p>
    <w:p>
      <w:pPr>
        <w:pStyle w:val="BodyText"/>
      </w:pPr>
      <w:hyperlink r:id="rId45">
        <w:r>
          <w:rPr>
            <w:rStyle w:val="Hyperlink"/>
          </w:rPr>
          <w:t xml:space="preserve">[37]</w:t>
        </w:r>
      </w:hyperlink>
      <w:r>
        <w:t xml:space="preserve"> </w:t>
      </w:r>
      <w:r>
        <w:t xml:space="preserve">https://www.travelperk.com/travel-solutions/centralized-invoicing/</w:t>
      </w:r>
    </w:p>
    <w:p>
      <w:pPr>
        <w:pStyle w:val="BodyText"/>
      </w:pPr>
      <w:hyperlink r:id="rId45">
        <w:r>
          <w:rPr>
            <w:rStyle w:val="Hyperlink"/>
          </w:rPr>
          <w:t xml:space="preserve">https://www.travelperk.com/travel-solutions/centralized-invoicing/</w:t>
        </w:r>
      </w:hyperlink>
    </w:p>
    <w:p>
      <w:pPr>
        <w:pStyle w:val="BodyText"/>
      </w:pPr>
      <w:hyperlink r:id="rId47">
        <w:r>
          <w:rPr>
            <w:rStyle w:val="Hyperlink"/>
          </w:rPr>
          <w:t xml:space="preserve">[39]</w:t>
        </w:r>
      </w:hyperlink>
      <w:r>
        <w:t xml:space="preserve"> </w:t>
      </w:r>
      <w:hyperlink r:id="rId47">
        <w:r>
          <w:rPr>
            <w:rStyle w:val="Hyperlink"/>
          </w:rPr>
          <w:t xml:space="preserve">[56]</w:t>
        </w:r>
      </w:hyperlink>
      <w:r>
        <w:t xml:space="preserve"> </w:t>
      </w:r>
      <w:r>
        <w:t xml:space="preserve">https://www.iata.org/en/programs/airline-distribution/retailing/ndc/</w:t>
      </w:r>
    </w:p>
    <w:p>
      <w:pPr>
        <w:pStyle w:val="BodyText"/>
      </w:pPr>
      <w:hyperlink r:id="rId47">
        <w:r>
          <w:rPr>
            <w:rStyle w:val="Hyperlink"/>
          </w:rPr>
          <w:t xml:space="preserve">https://www.iata.org/en/programs/airline-distribution/retailing/ndc/</w:t>
        </w:r>
      </w:hyperlink>
    </w:p>
    <w:p>
      <w:pPr>
        <w:pStyle w:val="BodyText"/>
      </w:pPr>
      <w:hyperlink r:id="rId48">
        <w:r>
          <w:rPr>
            <w:rStyle w:val="Hyperlink"/>
          </w:rPr>
          <w:t xml:space="preserve">[41]</w:t>
        </w:r>
      </w:hyperlink>
      <w:r>
        <w:t xml:space="preserve"> </w:t>
      </w:r>
      <w:hyperlink r:id="rId48">
        <w:r>
          <w:rPr>
            <w:rStyle w:val="Hyperlink"/>
          </w:rPr>
          <w:t xml:space="preserve">[42]</w:t>
        </w:r>
      </w:hyperlink>
      <w:r>
        <w:t xml:space="preserve"> </w:t>
      </w:r>
      <w:hyperlink r:id="rId48">
        <w:r>
          <w:rPr>
            <w:rStyle w:val="Hyperlink"/>
          </w:rPr>
          <w:t xml:space="preserve">[43]</w:t>
        </w:r>
      </w:hyperlink>
      <w:r>
        <w:t xml:space="preserve"> </w:t>
      </w:r>
      <w:r>
        <w:t xml:space="preserve">https://openpolicyagent.org/docs</w:t>
      </w:r>
    </w:p>
    <w:p>
      <w:pPr>
        <w:pStyle w:val="BodyText"/>
      </w:pPr>
      <w:hyperlink r:id="rId48">
        <w:r>
          <w:rPr>
            <w:rStyle w:val="Hyperlink"/>
          </w:rPr>
          <w:t xml:space="preserve">https://openpolicyagent.org/docs</w:t>
        </w:r>
      </w:hyperlink>
    </w:p>
    <w:p>
      <w:pPr>
        <w:pStyle w:val="BodyText"/>
      </w:pPr>
      <w:hyperlink r:id="rId49">
        <w:r>
          <w:rPr>
            <w:rStyle w:val="Hyperlink"/>
          </w:rPr>
          <w:t xml:space="preserve">[44]</w:t>
        </w:r>
      </w:hyperlink>
      <w:r>
        <w:t xml:space="preserve"> </w:t>
      </w:r>
      <w:hyperlink r:id="rId49">
        <w:r>
          <w:rPr>
            <w:rStyle w:val="Hyperlink"/>
          </w:rPr>
          <w:t xml:space="preserve">[70]</w:t>
        </w:r>
      </w:hyperlink>
      <w:r>
        <w:t xml:space="preserve"> </w:t>
      </w:r>
      <w:r>
        <w:t xml:space="preserve">https://openpolicyagent.org/docs/policy-testing</w:t>
      </w:r>
    </w:p>
    <w:p>
      <w:pPr>
        <w:pStyle w:val="BodyText"/>
      </w:pPr>
      <w:hyperlink r:id="rId49">
        <w:r>
          <w:rPr>
            <w:rStyle w:val="Hyperlink"/>
          </w:rPr>
          <w:t xml:space="preserve">https://openpolicyagent.org/docs/policy-testing</w:t>
        </w:r>
      </w:hyperlink>
    </w:p>
    <w:p>
      <w:pPr>
        <w:pStyle w:val="BodyText"/>
      </w:pPr>
      <w:hyperlink r:id="rId50">
        <w:r>
          <w:rPr>
            <w:rStyle w:val="Hyperlink"/>
          </w:rPr>
          <w:t xml:space="preserve">[45]</w:t>
        </w:r>
      </w:hyperlink>
      <w:r>
        <w:t xml:space="preserve"> </w:t>
      </w:r>
      <w:r>
        <w:t xml:space="preserve">https://openpolicyagent.org/docs/filtering/partial-evaluation</w:t>
      </w:r>
    </w:p>
    <w:p>
      <w:pPr>
        <w:pStyle w:val="BodyText"/>
      </w:pPr>
      <w:hyperlink r:id="rId50">
        <w:r>
          <w:rPr>
            <w:rStyle w:val="Hyperlink"/>
          </w:rPr>
          <w:t xml:space="preserve">https://openpolicyagent.org/docs/filtering/partial-evaluation</w:t>
        </w:r>
      </w:hyperlink>
    </w:p>
    <w:p>
      <w:pPr>
        <w:pStyle w:val="BodyText"/>
      </w:pPr>
      <w:hyperlink r:id="rId52">
        <w:r>
          <w:rPr>
            <w:rStyle w:val="Hyperlink"/>
          </w:rPr>
          <w:t xml:space="preserve">[49]</w:t>
        </w:r>
      </w:hyperlink>
      <w:r>
        <w:t xml:space="preserve"> </w:t>
      </w:r>
      <w:r>
        <w:t xml:space="preserve">https://docs.oasis-open.org/security/saml/Post2.0/sstc-saml-tech-overview-2.0.html</w:t>
      </w:r>
    </w:p>
    <w:p>
      <w:pPr>
        <w:pStyle w:val="BodyText"/>
      </w:pPr>
      <w:hyperlink r:id="rId52">
        <w:r>
          <w:rPr>
            <w:rStyle w:val="Hyperlink"/>
          </w:rPr>
          <w:t xml:space="preserve">https://docs.oasis-open.org/security/saml/Post2.0/sstc-saml-tech-overview-2.0.html</w:t>
        </w:r>
      </w:hyperlink>
    </w:p>
    <w:p>
      <w:pPr>
        <w:pStyle w:val="BodyText"/>
      </w:pPr>
      <w:hyperlink r:id="rId53">
        <w:r>
          <w:rPr>
            <w:rStyle w:val="Hyperlink"/>
          </w:rPr>
          <w:t xml:space="preserve">[51]</w:t>
        </w:r>
      </w:hyperlink>
      <w:r>
        <w:t xml:space="preserve"> </w:t>
      </w:r>
      <w:r>
        <w:t xml:space="preserve">Steering - IDE - Docs</w:t>
      </w:r>
    </w:p>
    <w:p>
      <w:pPr>
        <w:pStyle w:val="BodyText"/>
      </w:pPr>
      <w:hyperlink r:id="rId53">
        <w:r>
          <w:rPr>
            <w:rStyle w:val="Hyperlink"/>
          </w:rPr>
          <w:t xml:space="preserve">https://kiro.dev/docs/steering/?utm_source=chatgpt.com</w:t>
        </w:r>
      </w:hyperlink>
    </w:p>
    <w:p>
      <w:pPr>
        <w:pStyle w:val="BodyText"/>
      </w:pPr>
      <w:hyperlink r:id="rId54">
        <w:r>
          <w:rPr>
            <w:rStyle w:val="Hyperlink"/>
          </w:rPr>
          <w:t xml:space="preserve">[53]</w:t>
        </w:r>
      </w:hyperlink>
      <w:r>
        <w:t xml:space="preserve"> </w:t>
      </w:r>
      <w:r>
        <w:t xml:space="preserve">Automate Terraform with GitHub Actions</w:t>
      </w:r>
    </w:p>
    <w:p>
      <w:pPr>
        <w:pStyle w:val="BodyText"/>
      </w:pPr>
      <w:hyperlink r:id="rId54">
        <w:r>
          <w:rPr>
            <w:rStyle w:val="Hyperlink"/>
          </w:rPr>
          <w:t xml:space="preserve">https://developer.hashicorp.com/terraform/tutorials/automation/github-actions?utm_source=chatgpt.com</w:t>
        </w:r>
      </w:hyperlink>
    </w:p>
    <w:p>
      <w:pPr>
        <w:pStyle w:val="BodyText"/>
      </w:pPr>
      <w:hyperlink r:id="rId60">
        <w:r>
          <w:rPr>
            <w:rStyle w:val="Hyperlink"/>
          </w:rPr>
          <w:t xml:space="preserve">[59]</w:t>
        </w:r>
      </w:hyperlink>
      <w:r>
        <w:t xml:space="preserve"> </w:t>
      </w:r>
      <w:r>
        <w:t xml:space="preserve">https://aws.amazon.com/cloudtrail/</w:t>
      </w:r>
    </w:p>
    <w:p>
      <w:pPr>
        <w:pStyle w:val="BodyText"/>
      </w:pPr>
      <w:hyperlink r:id="rId60">
        <w:r>
          <w:rPr>
            <w:rStyle w:val="Hyperlink"/>
          </w:rPr>
          <w:t xml:space="preserve">https://aws.amazon.com/cloudtrail/</w:t>
        </w:r>
      </w:hyperlink>
    </w:p>
    <w:p>
      <w:pPr>
        <w:pStyle w:val="BodyText"/>
      </w:pPr>
      <w:hyperlink r:id="rId61">
        <w:r>
          <w:rPr>
            <w:rStyle w:val="Hyperlink"/>
          </w:rPr>
          <w:t xml:space="preserve">[62]</w:t>
        </w:r>
      </w:hyperlink>
      <w:r>
        <w:t xml:space="preserve"> </w:t>
      </w:r>
      <w:r>
        <w:t xml:space="preserve">https://commission.europa.eu/law/law-topic/data-protection/rules-business-and-organisations_en</w:t>
      </w:r>
    </w:p>
    <w:p>
      <w:pPr>
        <w:pStyle w:val="BodyText"/>
      </w:pPr>
      <w:hyperlink r:id="rId61">
        <w:r>
          <w:rPr>
            <w:rStyle w:val="Hyperlink"/>
          </w:rPr>
          <w:t xml:space="preserve">https://commission.europa.eu/law/law-topic/data-protection/rules-business-and-organisations_en</w:t>
        </w:r>
      </w:hyperlink>
    </w:p>
    <w:p>
      <w:pPr>
        <w:pStyle w:val="BodyText"/>
      </w:pPr>
      <w:hyperlink r:id="rId62">
        <w:r>
          <w:rPr>
            <w:rStyle w:val="Hyperlink"/>
          </w:rPr>
          <w:t xml:space="preserve">[63]</w:t>
        </w:r>
      </w:hyperlink>
      <w:r>
        <w:t xml:space="preserve"> </w:t>
      </w:r>
      <w:r>
        <w:t xml:space="preserve">https://ico.org.uk/for-organisations/uk-gdpr-guidance-and-resources/lawful-basis/a-guide-to-lawful-basis/special-category-data/</w:t>
      </w:r>
    </w:p>
    <w:p>
      <w:pPr>
        <w:pStyle w:val="BodyText"/>
      </w:pPr>
      <w:hyperlink r:id="rId62">
        <w:r>
          <w:rPr>
            <w:rStyle w:val="Hyperlink"/>
          </w:rPr>
          <w:t xml:space="preserve">https://ico.org.uk/for-organisations/uk-gdpr-guidance-and-resources/lawful-basis/a-guide-to-lawful-basis/special-category-data/</w:t>
        </w:r>
      </w:hyperlink>
    </w:p>
    <w:p>
      <w:pPr>
        <w:pStyle w:val="BodyText"/>
      </w:pPr>
      <w:hyperlink r:id="rId63">
        <w:r>
          <w:rPr>
            <w:rStyle w:val="Hyperlink"/>
          </w:rPr>
          <w:t xml:space="preserve">[65]</w:t>
        </w:r>
      </w:hyperlink>
      <w:r>
        <w:t xml:space="preserve"> </w:t>
      </w:r>
      <w:r>
        <w:t xml:space="preserve">https://www.pcisecuritystandards.org/merchants/</w:t>
      </w:r>
    </w:p>
    <w:p>
      <w:pPr>
        <w:pStyle w:val="BodyText"/>
      </w:pPr>
      <w:hyperlink r:id="rId63">
        <w:r>
          <w:rPr>
            <w:rStyle w:val="Hyperlink"/>
          </w:rPr>
          <w:t xml:space="preserve">https://www.pcisecuritystandards.org/merchants/</w:t>
        </w:r>
      </w:hyperlink>
    </w:p>
    <w:p>
      <w:pPr>
        <w:pStyle w:val="BodyText"/>
      </w:pPr>
      <w:hyperlink r:id="rId67">
        <w:r>
          <w:rPr>
            <w:rStyle w:val="Hyperlink"/>
          </w:rPr>
          <w:t xml:space="preserve">[71]</w:t>
        </w:r>
      </w:hyperlink>
      <w:r>
        <w:t xml:space="preserve"> </w:t>
      </w:r>
      <w:r>
        <w:t xml:space="preserve">https://europa.eu/youreurope/business/dealing-with-customers/data-protection/data-protection-gdpr/index_en.htm</w:t>
      </w:r>
    </w:p>
    <w:p>
      <w:pPr>
        <w:pStyle w:val="BodyText"/>
      </w:pPr>
      <w:hyperlink r:id="rId67">
        <w:r>
          <w:rPr>
            <w:rStyle w:val="Hyperlink"/>
          </w:rPr>
          <w:t xml:space="preserve">https://europa.eu/youreurope/business/dealing-with-customers/data-protection/data-protection-gdpr/index_en.htm</w:t>
        </w:r>
      </w:hyperlink>
    </w:p>
    <w:p>
      <w:pPr>
        <w:pStyle w:val="BodyText"/>
      </w:pPr>
      <w:hyperlink r:id="rId68">
        <w:r>
          <w:rPr>
            <w:rStyle w:val="Hyperlink"/>
          </w:rPr>
          <w:t xml:space="preserve">[73]</w:t>
        </w:r>
      </w:hyperlink>
      <w:r>
        <w:t xml:space="preserve"> </w:t>
      </w:r>
      <w:r>
        <w:t xml:space="preserve">https://gbta.org/corporate-travel-policies-strengthen-modernize-and-embrace-ai%E2%94%80while-opportunities-remain-for-improving-accessibility-policy-clarity-and-compliance/</w:t>
      </w:r>
    </w:p>
    <w:p>
      <w:pPr>
        <w:pStyle w:val="BodyText"/>
      </w:pPr>
      <w:hyperlink r:id="rId68">
        <w:r>
          <w:rPr>
            <w:rStyle w:val="Hyperlink"/>
          </w:rPr>
          <w:t xml:space="preserve">https://gbta.org/corporate-travel-policies-strengthen-modernize-and-embrace-ai%E2%94%80while-opportunities-remain-for-improving-accessibility-policy-clarity-and-compliance/</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ws.amazon.com/cloudtrail/" TargetMode="External" /><Relationship Type="http://schemas.openxmlformats.org/officeDocument/2006/relationships/hyperlink" Id="rId61" Target="https://commission.europa.eu/law/law-topic/data-protection/rules-business-and-organisations_en" TargetMode="External" /><Relationship Type="http://schemas.openxmlformats.org/officeDocument/2006/relationships/hyperlink" Id="rId27" Target="https://datatracker.ietf.org/doc/html/rfc7644?utm_source=chatgpt.com" TargetMode="External" /><Relationship Type="http://schemas.openxmlformats.org/officeDocument/2006/relationships/hyperlink" Id="rId54" Target="https://developer.hashicorp.com/terraform/tutorials/automation/github-actions?utm_source=chatgpt.com" TargetMode="External" /><Relationship Type="http://schemas.openxmlformats.org/officeDocument/2006/relationships/hyperlink" Id="rId21" Target="https://docs.aws.amazon.com/whitepapers/latest/navigating-gdpr-compliance/shared-security-responsibility-model.html" TargetMode="External" /><Relationship Type="http://schemas.openxmlformats.org/officeDocument/2006/relationships/hyperlink" Id="rId52" Target="https://docs.oasis-open.org/security/saml/Post2.0/sstc-saml-tech-overview-2.0.html" TargetMode="External" /><Relationship Type="http://schemas.openxmlformats.org/officeDocument/2006/relationships/hyperlink" Id="rId67" Target="https://europa.eu/youreurope/business/dealing-with-customers/data-protection/data-protection-gdpr/index_en.htm" TargetMode="External" /><Relationship Type="http://schemas.openxmlformats.org/officeDocument/2006/relationships/hyperlink" Id="rId68" Target="https://gbta.org/corporate-travel-policies-strengthen-modernize-and-embrace-ai%E2%94%80while-opportunities-remain-for-improving-accessibility-policy-clarity-and-compliance/" TargetMode="External" /><Relationship Type="http://schemas.openxmlformats.org/officeDocument/2006/relationships/hyperlink" Id="rId22" Target="https://gbta.org/global-business-travel-spending-to-reach-1-57-trillion-in-2025-amid-trade-policy-uncertainty-and-economic-risk-according-to-new-gbta-forecast/" TargetMode="External" /><Relationship Type="http://schemas.openxmlformats.org/officeDocument/2006/relationships/hyperlink" Id="rId23" Target="https://gbta.org/travel-professionals-accept-direct-booking-is-here-to-stay-work-to-gain-visibility-into-cost-savings-and-risk-management/" TargetMode="External" /><Relationship Type="http://schemas.openxmlformats.org/officeDocument/2006/relationships/hyperlink" Id="rId62" Target="https://ico.org.uk/for-organisations/uk-gdpr-guidance-and-resources/lawful-basis/a-guide-to-lawful-basis/special-category-data/" TargetMode="External" /><Relationship Type="http://schemas.openxmlformats.org/officeDocument/2006/relationships/hyperlink" Id="rId26" Target="https://kiro.dev/docs/?utm_source=chatgpt.com" TargetMode="External" /><Relationship Type="http://schemas.openxmlformats.org/officeDocument/2006/relationships/hyperlink" Id="rId53" Target="https://kiro.dev/docs/steering/?utm_source=chatgpt.com" TargetMode="External" /><Relationship Type="http://schemas.openxmlformats.org/officeDocument/2006/relationships/hyperlink" Id="rId30" Target="https://navan.com/blog/travel-and-expense-policy-best-practices?utm_source=chatgpt.com" TargetMode="External" /><Relationship Type="http://schemas.openxmlformats.org/officeDocument/2006/relationships/hyperlink" Id="rId31" Target="https://navan.com/uk/integrations" TargetMode="External" /><Relationship Type="http://schemas.openxmlformats.org/officeDocument/2006/relationships/hyperlink" Id="rId32" Target="https://navan.com/uk/pricing?utm_source=chatgpt.com" TargetMode="External" /><Relationship Type="http://schemas.openxmlformats.org/officeDocument/2006/relationships/hyperlink" Id="rId43" Target="https://navan.com/uk/product/payments" TargetMode="External" /><Relationship Type="http://schemas.openxmlformats.org/officeDocument/2006/relationships/hyperlink" Id="rId48" Target="https://openpolicyagent.org/docs" TargetMode="External" /><Relationship Type="http://schemas.openxmlformats.org/officeDocument/2006/relationships/hyperlink" Id="rId50" Target="https://openpolicyagent.org/docs/filtering/partial-evaluation" TargetMode="External" /><Relationship Type="http://schemas.openxmlformats.org/officeDocument/2006/relationships/hyperlink" Id="rId49" Target="https://openpolicyagent.org/docs/policy-testing" TargetMode="External" /><Relationship Type="http://schemas.openxmlformats.org/officeDocument/2006/relationships/hyperlink" Id="rId44" Target="https://www.concur.com/blog/article/reach-sustainability-goals-responsible-travel-spending" TargetMode="External" /><Relationship Type="http://schemas.openxmlformats.org/officeDocument/2006/relationships/hyperlink" Id="rId29" Target="https://www.concur.com/products/trip-approval?utm_source=chatgpt.com" TargetMode="External" /><Relationship Type="http://schemas.openxmlformats.org/officeDocument/2006/relationships/hyperlink" Id="rId47" Target="https://www.iata.org/en/programs/airline-distribution/retailing/ndc/" TargetMode="External" /><Relationship Type="http://schemas.openxmlformats.org/officeDocument/2006/relationships/hyperlink" Id="rId63" Target="https://www.pcisecuritystandards.org/merchants/" TargetMode="External" /><Relationship Type="http://schemas.openxmlformats.org/officeDocument/2006/relationships/hyperlink" Id="rId38" Target="https://www.serko.com/zeno/travel/booking-choices?utm_source=chatgpt.com" TargetMode="External" /><Relationship Type="http://schemas.openxmlformats.org/officeDocument/2006/relationships/hyperlink" Id="rId37" Target="https://www.serko.com/zeno/travel/cost-control?utm_source=chatgpt.com" TargetMode="External" /><Relationship Type="http://schemas.openxmlformats.org/officeDocument/2006/relationships/hyperlink" Id="rId42" Target="https://www.serko.com/zeno/travel/feature-list?utm_source=chatgpt.com" TargetMode="External" /><Relationship Type="http://schemas.openxmlformats.org/officeDocument/2006/relationships/hyperlink" Id="rId34" Target="https://www.spotnana.com/blog/agents-travelers/?utm_source=chatgpt.com" TargetMode="External" /><Relationship Type="http://schemas.openxmlformats.org/officeDocument/2006/relationships/hyperlink" Id="rId35" Target="https://www.spotnana.com/blog/benefits-api-architecture/?utm_source=chatgpt.com" TargetMode="External" /><Relationship Type="http://schemas.openxmlformats.org/officeDocument/2006/relationships/hyperlink" Id="rId36" Target="https://www.spotnana.com/blog/what-exactly-is-spotnana/?utm_source=chatgpt.com" TargetMode="External" /><Relationship Type="http://schemas.openxmlformats.org/officeDocument/2006/relationships/hyperlink" Id="rId39" Target="https://www.spotnana.com/blog/what-is-travel-as-a-service/?utm_source=chatgpt.com" TargetMode="External" /><Relationship Type="http://schemas.openxmlformats.org/officeDocument/2006/relationships/hyperlink" Id="rId25" Target="https://www.spotnana.com/blog/your-corporate-travel-program-needs-an-open-travel-platform/" TargetMode="External" /><Relationship Type="http://schemas.openxmlformats.org/officeDocument/2006/relationships/hyperlink" Id="rId24" Target="https://www.travelperk.com/pricing/" TargetMode="External" /><Relationship Type="http://schemas.openxmlformats.org/officeDocument/2006/relationships/hyperlink" Id="rId45" Target="https://www.travelperk.com/travel-solutions/centralized-invoicing/" TargetMode="External" /><Relationship Type="http://schemas.openxmlformats.org/officeDocument/2006/relationships/hyperlink" Id="rId33" Target="https://www.travelperk.com/uk/travel-solutions/marketplace/" TargetMode="External" /></Relationships>
</file>

<file path=word/_rels/footnotes.xml.rels><?xml version="1.0" encoding="UTF-8"?><Relationships xmlns="http://schemas.openxmlformats.org/package/2006/relationships"><Relationship Type="http://schemas.openxmlformats.org/officeDocument/2006/relationships/hyperlink" Id="rId60" Target="https://aws.amazon.com/cloudtrail/" TargetMode="External" /><Relationship Type="http://schemas.openxmlformats.org/officeDocument/2006/relationships/hyperlink" Id="rId61" Target="https://commission.europa.eu/law/law-topic/data-protection/rules-business-and-organisations_en" TargetMode="External" /><Relationship Type="http://schemas.openxmlformats.org/officeDocument/2006/relationships/hyperlink" Id="rId27" Target="https://datatracker.ietf.org/doc/html/rfc7644?utm_source=chatgpt.com" TargetMode="External" /><Relationship Type="http://schemas.openxmlformats.org/officeDocument/2006/relationships/hyperlink" Id="rId54" Target="https://developer.hashicorp.com/terraform/tutorials/automation/github-actions?utm_source=chatgpt.com" TargetMode="External" /><Relationship Type="http://schemas.openxmlformats.org/officeDocument/2006/relationships/hyperlink" Id="rId21" Target="https://docs.aws.amazon.com/whitepapers/latest/navigating-gdpr-compliance/shared-security-responsibility-model.html" TargetMode="External" /><Relationship Type="http://schemas.openxmlformats.org/officeDocument/2006/relationships/hyperlink" Id="rId52" Target="https://docs.oasis-open.org/security/saml/Post2.0/sstc-saml-tech-overview-2.0.html" TargetMode="External" /><Relationship Type="http://schemas.openxmlformats.org/officeDocument/2006/relationships/hyperlink" Id="rId67" Target="https://europa.eu/youreurope/business/dealing-with-customers/data-protection/data-protection-gdpr/index_en.htm" TargetMode="External" /><Relationship Type="http://schemas.openxmlformats.org/officeDocument/2006/relationships/hyperlink" Id="rId68" Target="https://gbta.org/corporate-travel-policies-strengthen-modernize-and-embrace-ai%E2%94%80while-opportunities-remain-for-improving-accessibility-policy-clarity-and-compliance/" TargetMode="External" /><Relationship Type="http://schemas.openxmlformats.org/officeDocument/2006/relationships/hyperlink" Id="rId22" Target="https://gbta.org/global-business-travel-spending-to-reach-1-57-trillion-in-2025-amid-trade-policy-uncertainty-and-economic-risk-according-to-new-gbta-forecast/" TargetMode="External" /><Relationship Type="http://schemas.openxmlformats.org/officeDocument/2006/relationships/hyperlink" Id="rId23" Target="https://gbta.org/travel-professionals-accept-direct-booking-is-here-to-stay-work-to-gain-visibility-into-cost-savings-and-risk-management/" TargetMode="External" /><Relationship Type="http://schemas.openxmlformats.org/officeDocument/2006/relationships/hyperlink" Id="rId62" Target="https://ico.org.uk/for-organisations/uk-gdpr-guidance-and-resources/lawful-basis/a-guide-to-lawful-basis/special-category-data/" TargetMode="External" /><Relationship Type="http://schemas.openxmlformats.org/officeDocument/2006/relationships/hyperlink" Id="rId26" Target="https://kiro.dev/docs/?utm_source=chatgpt.com" TargetMode="External" /><Relationship Type="http://schemas.openxmlformats.org/officeDocument/2006/relationships/hyperlink" Id="rId53" Target="https://kiro.dev/docs/steering/?utm_source=chatgpt.com" TargetMode="External" /><Relationship Type="http://schemas.openxmlformats.org/officeDocument/2006/relationships/hyperlink" Id="rId30" Target="https://navan.com/blog/travel-and-expense-policy-best-practices?utm_source=chatgpt.com" TargetMode="External" /><Relationship Type="http://schemas.openxmlformats.org/officeDocument/2006/relationships/hyperlink" Id="rId31" Target="https://navan.com/uk/integrations" TargetMode="External" /><Relationship Type="http://schemas.openxmlformats.org/officeDocument/2006/relationships/hyperlink" Id="rId32" Target="https://navan.com/uk/pricing?utm_source=chatgpt.com" TargetMode="External" /><Relationship Type="http://schemas.openxmlformats.org/officeDocument/2006/relationships/hyperlink" Id="rId43" Target="https://navan.com/uk/product/payments" TargetMode="External" /><Relationship Type="http://schemas.openxmlformats.org/officeDocument/2006/relationships/hyperlink" Id="rId48" Target="https://openpolicyagent.org/docs" TargetMode="External" /><Relationship Type="http://schemas.openxmlformats.org/officeDocument/2006/relationships/hyperlink" Id="rId50" Target="https://openpolicyagent.org/docs/filtering/partial-evaluation" TargetMode="External" /><Relationship Type="http://schemas.openxmlformats.org/officeDocument/2006/relationships/hyperlink" Id="rId49" Target="https://openpolicyagent.org/docs/policy-testing" TargetMode="External" /><Relationship Type="http://schemas.openxmlformats.org/officeDocument/2006/relationships/hyperlink" Id="rId44" Target="https://www.concur.com/blog/article/reach-sustainability-goals-responsible-travel-spending" TargetMode="External" /><Relationship Type="http://schemas.openxmlformats.org/officeDocument/2006/relationships/hyperlink" Id="rId29" Target="https://www.concur.com/products/trip-approval?utm_source=chatgpt.com" TargetMode="External" /><Relationship Type="http://schemas.openxmlformats.org/officeDocument/2006/relationships/hyperlink" Id="rId47" Target="https://www.iata.org/en/programs/airline-distribution/retailing/ndc/" TargetMode="External" /><Relationship Type="http://schemas.openxmlformats.org/officeDocument/2006/relationships/hyperlink" Id="rId63" Target="https://www.pcisecuritystandards.org/merchants/" TargetMode="External" /><Relationship Type="http://schemas.openxmlformats.org/officeDocument/2006/relationships/hyperlink" Id="rId38" Target="https://www.serko.com/zeno/travel/booking-choices?utm_source=chatgpt.com" TargetMode="External" /><Relationship Type="http://schemas.openxmlformats.org/officeDocument/2006/relationships/hyperlink" Id="rId37" Target="https://www.serko.com/zeno/travel/cost-control?utm_source=chatgpt.com" TargetMode="External" /><Relationship Type="http://schemas.openxmlformats.org/officeDocument/2006/relationships/hyperlink" Id="rId42" Target="https://www.serko.com/zeno/travel/feature-list?utm_source=chatgpt.com" TargetMode="External" /><Relationship Type="http://schemas.openxmlformats.org/officeDocument/2006/relationships/hyperlink" Id="rId34" Target="https://www.spotnana.com/blog/agents-travelers/?utm_source=chatgpt.com" TargetMode="External" /><Relationship Type="http://schemas.openxmlformats.org/officeDocument/2006/relationships/hyperlink" Id="rId35" Target="https://www.spotnana.com/blog/benefits-api-architecture/?utm_source=chatgpt.com" TargetMode="External" /><Relationship Type="http://schemas.openxmlformats.org/officeDocument/2006/relationships/hyperlink" Id="rId36" Target="https://www.spotnana.com/blog/what-exactly-is-spotnana/?utm_source=chatgpt.com" TargetMode="External" /><Relationship Type="http://schemas.openxmlformats.org/officeDocument/2006/relationships/hyperlink" Id="rId39" Target="https://www.spotnana.com/blog/what-is-travel-as-a-service/?utm_source=chatgpt.com" TargetMode="External" /><Relationship Type="http://schemas.openxmlformats.org/officeDocument/2006/relationships/hyperlink" Id="rId25" Target="https://www.spotnana.com/blog/your-corporate-travel-program-needs-an-open-travel-platform/" TargetMode="External" /><Relationship Type="http://schemas.openxmlformats.org/officeDocument/2006/relationships/hyperlink" Id="rId24" Target="https://www.travelperk.com/pricing/" TargetMode="External" /><Relationship Type="http://schemas.openxmlformats.org/officeDocument/2006/relationships/hyperlink" Id="rId45" Target="https://www.travelperk.com/travel-solutions/centralized-invoicing/" TargetMode="External" /><Relationship Type="http://schemas.openxmlformats.org/officeDocument/2006/relationships/hyperlink" Id="rId33" Target="https://www.travelperk.com/uk/travel-solutions/marketpla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2026-05-08T08:11:01Z</dcterms:created>
  <dcterms:modified xsi:type="dcterms:W3CDTF">2026-05-08T08:11:01Z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