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ATHIRA BIJU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REGULAR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Date:21/03/2022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63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Familiarization of basic commands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highlight w:val="white"/>
          <w:u w:val="single"/>
          <w:rtl w:val="0"/>
        </w:rPr>
        <w:t xml:space="preserve">CP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. This command is used to copy files or group of files or directory. It creates an exact image of a file on a disk with different file name.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sz w:val="26"/>
          <w:szCs w:val="26"/>
          <w:highlight w:val="white"/>
          <w:rtl w:val="0"/>
        </w:rPr>
        <w:t xml:space="preserve">cp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command require at least two filenames in its arguments.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4438650" cy="4143375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Options: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Cp -r: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Option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with the copy command can be used to copy a directory including all its content from a source directory to the destination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4991100" cy="2771775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cp -i: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cp '-i' option allows you to confirm once before overwriting your file.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816100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single"/>
          <w:rtl w:val="0"/>
        </w:rPr>
        <w:t xml:space="preserve">MV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highlight w:val="whit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highlight w:val="white"/>
          <w:rtl w:val="0"/>
        </w:rPr>
        <w:t xml:space="preserve"> stands for </w:t>
      </w: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highlight w:val="whit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highlight w:val="white"/>
          <w:rtl w:val="0"/>
        </w:rPr>
        <w:t xml:space="preserve">. mv is used to move one or more files or directories from one place to another in a file system. 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905500" cy="87630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u w:val="single"/>
          <w:rtl w:val="0"/>
        </w:rPr>
        <w:t xml:space="preserve">mv -i: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this command is used to move one directory to another directory.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Dept. of Computer Applications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0227E"/>
    <w:pPr>
      <w:spacing w:after="160" w:line="259" w:lineRule="auto"/>
    </w:pPr>
    <w:rPr>
      <w:rFonts w:ascii="Calibri" w:cs="Calibri" w:eastAsia="Calibri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0227E"/>
    <w:pPr>
      <w:tabs>
        <w:tab w:val="center" w:pos="4680"/>
        <w:tab w:val="right" w:pos="9360"/>
      </w:tabs>
      <w:spacing w:after="0" w:line="240" w:lineRule="auto"/>
    </w:pPr>
    <w:rPr>
      <w:rFonts w:asciiTheme="minorHAnsi" w:cstheme="minorBidi" w:eastAsiaTheme="minorHAnsi" w:hAnsiTheme="minorHAnsi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70227E"/>
  </w:style>
  <w:style w:type="paragraph" w:styleId="Footer">
    <w:name w:val="footer"/>
    <w:basedOn w:val="Normal"/>
    <w:link w:val="FooterChar"/>
    <w:uiPriority w:val="99"/>
    <w:semiHidden w:val="1"/>
    <w:unhideWhenUsed w:val="1"/>
    <w:rsid w:val="0070227E"/>
    <w:pPr>
      <w:tabs>
        <w:tab w:val="center" w:pos="4680"/>
        <w:tab w:val="right" w:pos="9360"/>
      </w:tabs>
      <w:spacing w:after="0" w:line="240" w:lineRule="auto"/>
    </w:pPr>
    <w:rPr>
      <w:rFonts w:asciiTheme="minorHAnsi" w:cstheme="minorBidi" w:eastAsiaTheme="minorHAnsi" w:hAnsiTheme="minorHAns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0227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227E"/>
    <w:pPr>
      <w:spacing w:after="0" w:line="240" w:lineRule="auto"/>
    </w:pPr>
    <w:rPr>
      <w:rFonts w:ascii="Tahoma" w:cs="Tahoma" w:hAnsi="Tahoma" w:eastAsiaTheme="minorHAnsi"/>
      <w:sz w:val="16"/>
      <w:szCs w:val="16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227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fjeKBmbILWVRgcATXha59pb4g==">AMUW2mWtB5u4MFSUH+48EzqQB+qDIb5KhagZgmv65BDmN4AEGA3K/OF31Atplb7ZCkynavK7Yl2kHHfb5EERSFh+OfdzaQH2Usq6Vj4GL9a/WXGUdnoSpR8=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2022-04-03T08:19:00Z</dcterms:created>
  <dc:creator>LENOVO</dc:creator>
</cp:coreProperties>
</file>