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Project Proposal: Enterprise AI Assistant</w:t>
      </w:r>
    </w:p>
    <w:p>
      <w:pPr>
        <w:spacing w:after="300"/>
        <w:jc w:val="center"/>
      </w:pPr>
      <w:r>
        <w:t xml:space="preserve">ABC Manufacturing Pvt. Ltd.</w:t>
      </w:r>
      <w:r>
        <w:rPr>
          <w:color w:val="718096"/>
          <w:sz w:val="22"/>
          <w:szCs w:val="22"/>
        </w:rPr>
        <w:t xml:space="preserve">ABC Manufacturing Pvt. Ltd.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none" w:color="FFFFFF" w:sz="0"/>
              <w:left w:val="none" w:color="FFFFFF" w:sz="0"/>
              <w:bottom w:val="none" w:color="FFFFFF" w:sz="0"/>
              <w:right w:val="none" w:color="FFFFFF" w:sz="0"/>
            </w:tcBorders>
          </w:tcPr>
          <w:p>
            <w:r>
              <w:rPr>
                <w:b/>
                <w:bCs/>
                <w:color w:val="718096"/>
                <w:sz w:val="18"/>
                <w:szCs w:val="18"/>
              </w:rPr>
              <w:t xml:space="preserve">Document ID:</w:t>
            </w:r>
          </w:p>
        </w:tc>
        <w:tc>
          <w:tcPr>
            <w:tcW w:type="dxa" w:w="6500"/>
            <w:tcBorders>
              <w:top w:val="none" w:color="FFFFFF" w:sz="0"/>
              <w:left w:val="none" w:color="FFFFFF" w:sz="0"/>
              <w:bottom w:val="none" w:color="FFFFFF" w:sz="0"/>
              <w:right w:val="none" w:color="FFFFFF" w:sz="0"/>
            </w:tcBorders>
          </w:tcPr>
          <w:p>
            <w:r>
              <w:rPr>
                <w:color w:val="718096"/>
                <w:sz w:val="18"/>
                <w:szCs w:val="18"/>
              </w:rPr>
              <w:t xml:space="preserve">ABC-PROJ-014</w:t>
            </w:r>
          </w:p>
        </w:tc>
      </w:tr>
      <w:tr>
        <w:tc>
          <w:tcPr>
            <w:tcW w:type="dxa" w:w="3000"/>
            <w:tcBorders>
              <w:top w:val="none" w:color="FFFFFF" w:sz="0"/>
              <w:left w:val="none" w:color="FFFFFF" w:sz="0"/>
              <w:bottom w:val="none" w:color="FFFFFF" w:sz="0"/>
              <w:right w:val="none" w:color="FFFFFF" w:sz="0"/>
            </w:tcBorders>
          </w:tcPr>
          <w:p>
            <w:r>
              <w:rPr>
                <w:b/>
                <w:bCs/>
                <w:color w:val="718096"/>
                <w:sz w:val="18"/>
                <w:szCs w:val="18"/>
              </w:rPr>
              <w:t xml:space="preserve">Prepared By:</w:t>
            </w:r>
          </w:p>
        </w:tc>
        <w:tc>
          <w:tcPr>
            <w:tcW w:type="dxa" w:w="6500"/>
            <w:tcBorders>
              <w:top w:val="none" w:color="FFFFFF" w:sz="0"/>
              <w:left w:val="none" w:color="FFFFFF" w:sz="0"/>
              <w:bottom w:val="none" w:color="FFFFFF" w:sz="0"/>
              <w:right w:val="none" w:color="FFFFFF" w:sz="0"/>
            </w:tcBorders>
          </w:tcPr>
          <w:p>
            <w:r>
              <w:rPr>
                <w:color w:val="718096"/>
                <w:sz w:val="18"/>
                <w:szCs w:val="18"/>
              </w:rPr>
              <w:t xml:space="preserve">IT Department</w:t>
            </w:r>
          </w:p>
        </w:tc>
      </w:tr>
      <w:tr>
        <w:tc>
          <w:tcPr>
            <w:tcW w:type="dxa" w:w="3000"/>
            <w:tcBorders>
              <w:top w:val="none" w:color="FFFFFF" w:sz="0"/>
              <w:left w:val="none" w:color="FFFFFF" w:sz="0"/>
              <w:bottom w:val="none" w:color="FFFFFF" w:sz="0"/>
              <w:right w:val="none" w:color="FFFFFF" w:sz="0"/>
            </w:tcBorders>
          </w:tcPr>
          <w:p>
            <w:r>
              <w:rPr>
                <w:b/>
                <w:bCs/>
                <w:color w:val="718096"/>
                <w:sz w:val="18"/>
                <w:szCs w:val="18"/>
              </w:rPr>
              <w:t xml:space="preserve">Sponsor:</w:t>
            </w:r>
          </w:p>
        </w:tc>
        <w:tc>
          <w:tcPr>
            <w:tcW w:type="dxa" w:w="6500"/>
            <w:tcBorders>
              <w:top w:val="none" w:color="FFFFFF" w:sz="0"/>
              <w:left w:val="none" w:color="FFFFFF" w:sz="0"/>
              <w:bottom w:val="none" w:color="FFFFFF" w:sz="0"/>
              <w:right w:val="none" w:color="FFFFFF" w:sz="0"/>
            </w:tcBorders>
          </w:tcPr>
          <w:p>
            <w:r>
              <w:rPr>
                <w:color w:val="718096"/>
                <w:sz w:val="18"/>
                <w:szCs w:val="18"/>
              </w:rPr>
              <w:t xml:space="preserve">Head of IT / CFO</w:t>
            </w:r>
          </w:p>
        </w:tc>
      </w:tr>
      <w:tr>
        <w:tc>
          <w:tcPr>
            <w:tcW w:type="dxa" w:w="3000"/>
            <w:tcBorders>
              <w:top w:val="none" w:color="FFFFFF" w:sz="0"/>
              <w:left w:val="none" w:color="FFFFFF" w:sz="0"/>
              <w:bottom w:val="none" w:color="FFFFFF" w:sz="0"/>
              <w:right w:val="none" w:color="FFFFFF" w:sz="0"/>
            </w:tcBorders>
          </w:tcPr>
          <w:p>
            <w:r>
              <w:rPr>
                <w:b/>
                <w:bCs/>
                <w:color w:val="718096"/>
                <w:sz w:val="18"/>
                <w:szCs w:val="18"/>
              </w:rPr>
              <w:t xml:space="preserve">Status:</w:t>
            </w:r>
          </w:p>
        </w:tc>
        <w:tc>
          <w:tcPr>
            <w:tcW w:type="dxa" w:w="6500"/>
            <w:tcBorders>
              <w:top w:val="none" w:color="FFFFFF" w:sz="0"/>
              <w:left w:val="none" w:color="FFFFFF" w:sz="0"/>
              <w:bottom w:val="none" w:color="FFFFFF" w:sz="0"/>
              <w:right w:val="none" w:color="FFFFFF" w:sz="0"/>
            </w:tcBorders>
          </w:tcPr>
          <w:p>
            <w:r>
              <w:rPr>
                <w:color w:val="718096"/>
                <w:sz w:val="18"/>
                <w:szCs w:val="18"/>
              </w:rPr>
              <w:t xml:space="preserve">Approved — Pilot Phase</w:t>
            </w:r>
          </w:p>
        </w:tc>
      </w:tr>
    </w:tbl>
    <w:p>
      <w:pPr>
        <w:spacing w:after="200"/>
      </w:pPr>
    </w:p>
    <w:p>
      <w:pPr>
        <w:pStyle w:val="Heading1"/>
        <w:spacing w:after="150" w:before="300"/>
      </w:pPr>
      <w:r>
        <w:t xml:space="preserve">1. Executive Summary</w:t>
      </w:r>
    </w:p>
    <w:p>
      <w:pPr>
        <w:spacing w:after="150"/>
      </w:pPr>
      <w:r>
        <w:rPr>
          <w:sz w:val="21"/>
          <w:szCs w:val="21"/>
        </w:rPr>
        <w:t xml:space="preserve">This proposal outlines the design and rollout plan for an internal Enterprise AI Assistant that allows employees to ask natural-language questions about company policies, sales performance, and manufacturing operations, and receive accurate, cited answers drawn directly from ABC Manufacturing's own documents and databases.</w:t>
      </w:r>
    </w:p>
    <w:p>
      <w:pPr>
        <w:pStyle w:val="Heading1"/>
        <w:spacing w:after="150" w:before="300"/>
      </w:pPr>
      <w:r>
        <w:t xml:space="preserve">2. Business Problem</w:t>
      </w:r>
    </w:p>
    <w:p>
      <w:pPr>
        <w:spacing w:after="150"/>
      </w:pPr>
      <w:r>
        <w:rPr>
          <w:sz w:val="21"/>
          <w:szCs w:val="21"/>
        </w:rPr>
        <w:t xml:space="preserve">Employees today spend significant time searching across shared drives, HRMS, and multiple spreadsheets to answer routine questions — for example, how many leave days they are entitled to, which machine had the most downtime last month, or how Q1 sales compared to Q2. This proposal aims to reduce that friction through a single conversational interface.</w:t>
      </w:r>
    </w:p>
    <w:p>
      <w:pPr>
        <w:pStyle w:val="Heading1"/>
        <w:spacing w:after="150" w:before="300"/>
      </w:pPr>
      <w:r>
        <w:t xml:space="preserve">3. Proposed Solution</w:t>
      </w:r>
    </w:p>
    <w:p>
      <w:pPr>
        <w:spacing w:after="150"/>
      </w:pPr>
      <w:r>
        <w:rPr>
          <w:sz w:val="21"/>
          <w:szCs w:val="21"/>
        </w:rPr>
        <w:t xml:space="preserve">The solution is a multi-agent AI system built on LangGraph, orchestrating specialized agents behind a Planner:</w:t>
      </w:r>
    </w:p>
    <w:p>
      <w:pPr>
        <w:pStyle w:val="ListParagraph"/>
        <w:numPr>
          <w:ilvl w:val="0"/>
          <w:numId w:val="1"/>
        </w:numPr>
        <w:spacing w:after="80"/>
      </w:pPr>
      <w:r>
        <w:rPr>
          <w:sz w:val="21"/>
          <w:szCs w:val="21"/>
        </w:rPr>
        <w:t xml:space="preserve">RAG Agent — answers policy and document questions using retrieval-augmented generation over indexed PDFs and Word documents.</w:t>
      </w:r>
    </w:p>
    <w:p>
      <w:pPr>
        <w:pStyle w:val="ListParagraph"/>
        <w:numPr>
          <w:ilvl w:val="0"/>
          <w:numId w:val="1"/>
        </w:numPr>
        <w:spacing w:after="80"/>
      </w:pPr>
      <w:r>
        <w:rPr>
          <w:sz w:val="21"/>
          <w:szCs w:val="21"/>
        </w:rPr>
        <w:t xml:space="preserve">SQL Agent — answers structured data questions by querying the Sales, Production, Inventory, and Employee databases.</w:t>
      </w:r>
    </w:p>
    <w:p>
      <w:pPr>
        <w:pStyle w:val="ListParagraph"/>
        <w:numPr>
          <w:ilvl w:val="0"/>
          <w:numId w:val="1"/>
        </w:numPr>
        <w:spacing w:after="80"/>
      </w:pPr>
      <w:r>
        <w:rPr>
          <w:sz w:val="21"/>
          <w:szCs w:val="21"/>
        </w:rPr>
        <w:t xml:space="preserve">Research Agent — combines and cross-references outputs from the RAG and SQL agents for complex, multi-part questions.</w:t>
      </w:r>
    </w:p>
    <w:p>
      <w:pPr>
        <w:pStyle w:val="ListParagraph"/>
        <w:numPr>
          <w:ilvl w:val="0"/>
          <w:numId w:val="1"/>
        </w:numPr>
        <w:spacing w:after="80"/>
      </w:pPr>
      <w:r>
        <w:rPr>
          <w:sz w:val="21"/>
          <w:szCs w:val="21"/>
        </w:rPr>
        <w:t xml:space="preserve">Report Agent — generates formatted summaries and reports from combined findings.</w:t>
      </w:r>
    </w:p>
    <w:p>
      <w:pPr>
        <w:pStyle w:val="ListParagraph"/>
        <w:numPr>
          <w:ilvl w:val="0"/>
          <w:numId w:val="1"/>
        </w:numPr>
        <w:spacing w:after="80"/>
      </w:pPr>
      <w:r>
        <w:rPr>
          <w:sz w:val="21"/>
          <w:szCs w:val="21"/>
        </w:rPr>
        <w:t xml:space="preserve">Email Agent — drafts outbound communications, always subject to human approval before sending.</w:t>
      </w:r>
    </w:p>
    <w:p>
      <w:pPr>
        <w:pStyle w:val="Heading1"/>
        <w:spacing w:after="150" w:before="300"/>
      </w:pPr>
      <w:r>
        <w:t xml:space="preserve">4. Architecture Overview</w:t>
      </w:r>
    </w:p>
    <w:p>
      <w:pPr>
        <w:spacing w:after="150"/>
      </w:pPr>
      <w:r>
        <w:rPr>
          <w:sz w:val="21"/>
          <w:szCs w:val="21"/>
        </w:rPr>
        <w:t xml:space="preserve">The system will be built using Azure OpenAI for language understanding and generation, a vector database for document retrieval, LangGraph for multi-agent orchestration, FastAPI for the backend service layer, and a React-based dashboard for the employee-facing interface. The entire stack will be deployed on Azure.</w:t>
      </w:r>
    </w:p>
    <w:p>
      <w:pPr>
        <w:pStyle w:val="Heading1"/>
        <w:spacing w:after="150" w:before="300"/>
      </w:pPr>
      <w:r>
        <w:t xml:space="preserve">5. Data Governance</w:t>
      </w:r>
    </w:p>
    <w:p>
      <w:pPr>
        <w:spacing w:after="150"/>
      </w:pPr>
      <w:r>
        <w:rPr>
          <w:sz w:val="21"/>
          <w:szCs w:val="21"/>
        </w:rPr>
        <w:t xml:space="preserve">The pilot phase will connect only to HR policy documents and the Sales/Production databases via read-only service accounts. Access to Finance data (payroll, vendor payments, budgets) will require a separate governance review and will not be included until Phase 2.</w:t>
      </w:r>
    </w:p>
    <w:p>
      <w:pPr>
        <w:pStyle w:val="Heading1"/>
        <w:spacing w:after="150" w:before="300"/>
      </w:pPr>
      <w:r>
        <w:t xml:space="preserve">6. Phased Rollout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000"/>
      </w:tblGrid>
      <w:tr>
        <w:tc>
          <w:tcPr>
            <w:tcW w:type="dxa" w:w="0"/>
            <w:shd w:fill="1A2B4C" w:color="auto" w:val="clear"/>
          </w:tcPr>
          <w:p>
            <w:r>
              <w:rPr>
                <w:b/>
                <w:bCs/>
                <w:color w:val="FFFFFF"/>
                <w:sz w:val="18"/>
                <w:szCs w:val="18"/>
              </w:rPr>
              <w:t xml:space="preserve">Phase</w:t>
            </w:r>
          </w:p>
        </w:tc>
        <w:tc>
          <w:tcPr>
            <w:tcW w:type="dxa" w:w="0"/>
            <w:shd w:fill="1A2B4C" w:color="auto" w:val="clear"/>
          </w:tcPr>
          <w:p>
            <w:r>
              <w:rPr>
                <w:b/>
                <w:bCs/>
                <w:color w:val="FFFFFF"/>
                <w:sz w:val="18"/>
                <w:szCs w:val="18"/>
              </w:rPr>
              <w:t xml:space="preserve">Scope</w:t>
            </w:r>
          </w:p>
        </w:tc>
        <w:tc>
          <w:tcPr>
            <w:tcW w:type="dxa" w:w="0"/>
            <w:shd w:fill="1A2B4C" w:color="auto" w:val="clear"/>
          </w:tcPr>
          <w:p>
            <w:r>
              <w:rPr>
                <w:b/>
                <w:bCs/>
                <w:color w:val="FFFFFF"/>
                <w:sz w:val="18"/>
                <w:szCs w:val="18"/>
              </w:rPr>
              <w:t xml:space="preserve">Target Timeline</w:t>
            </w:r>
          </w:p>
        </w:tc>
      </w:tr>
      <w:tr>
        <w:tc>
          <w:tcPr>
            <w:tcW w:type="dxa" w:w="0"/>
            <w:shd w:fill="FFFFFF" w:color="auto" w:val="clear"/>
          </w:tcPr>
          <w:p>
            <w:r>
              <w:rPr>
                <w:b w:val="false"/>
                <w:bCs w:val="false"/>
                <w:color w:val="000000"/>
                <w:sz w:val="18"/>
                <w:szCs w:val="18"/>
              </w:rPr>
              <w:t xml:space="preserve">Pilot</w:t>
            </w:r>
          </w:p>
        </w:tc>
        <w:tc>
          <w:tcPr>
            <w:tcW w:type="dxa" w:w="0"/>
            <w:shd w:fill="FFFFFF" w:color="auto" w:val="clear"/>
          </w:tcPr>
          <w:p>
            <w:r>
              <w:rPr>
                <w:b w:val="false"/>
                <w:bCs w:val="false"/>
                <w:color w:val="000000"/>
                <w:sz w:val="18"/>
                <w:szCs w:val="18"/>
              </w:rPr>
              <w:t xml:space="preserve">HR policy Q&amp;A + Sales/Production SQL Agent for management team</w:t>
            </w:r>
          </w:p>
        </w:tc>
        <w:tc>
          <w:tcPr>
            <w:tcW w:type="dxa" w:w="0"/>
            <w:shd w:fill="FFFFFF" w:color="auto" w:val="clear"/>
          </w:tcPr>
          <w:p>
            <w:r>
              <w:rPr>
                <w:b w:val="false"/>
                <w:bCs w:val="false"/>
                <w:color w:val="000000"/>
                <w:sz w:val="18"/>
                <w:szCs w:val="18"/>
              </w:rPr>
              <w:t xml:space="preserve">Q1 2026</w:t>
            </w:r>
          </w:p>
        </w:tc>
      </w:tr>
      <w:tr>
        <w:tc>
          <w:tcPr>
            <w:tcW w:type="dxa" w:w="0"/>
            <w:shd w:fill="FFFFFF" w:color="auto" w:val="clear"/>
          </w:tcPr>
          <w:p>
            <w:r>
              <w:rPr>
                <w:b w:val="false"/>
                <w:bCs w:val="false"/>
                <w:color w:val="000000"/>
                <w:sz w:val="18"/>
                <w:szCs w:val="18"/>
              </w:rPr>
              <w:t xml:space="preserve">Phase 2</w:t>
            </w:r>
          </w:p>
        </w:tc>
        <w:tc>
          <w:tcPr>
            <w:tcW w:type="dxa" w:w="0"/>
            <w:shd w:fill="FFFFFF" w:color="auto" w:val="clear"/>
          </w:tcPr>
          <w:p>
            <w:r>
              <w:rPr>
                <w:b w:val="false"/>
                <w:bCs w:val="false"/>
                <w:color w:val="000000"/>
                <w:sz w:val="18"/>
                <w:szCs w:val="18"/>
              </w:rPr>
              <w:t xml:space="preserve">Add Finance data (with governance approval) + Report Agent</w:t>
            </w:r>
          </w:p>
        </w:tc>
        <w:tc>
          <w:tcPr>
            <w:tcW w:type="dxa" w:w="0"/>
            <w:shd w:fill="FFFFFF" w:color="auto" w:val="clear"/>
          </w:tcPr>
          <w:p>
            <w:r>
              <w:rPr>
                <w:b w:val="false"/>
                <w:bCs w:val="false"/>
                <w:color w:val="000000"/>
                <w:sz w:val="18"/>
                <w:szCs w:val="18"/>
              </w:rPr>
              <w:t xml:space="preserve">Q2 2026</w:t>
            </w:r>
          </w:p>
        </w:tc>
      </w:tr>
      <w:tr>
        <w:tc>
          <w:tcPr>
            <w:tcW w:type="dxa" w:w="0"/>
            <w:shd w:fill="FFFFFF" w:color="auto" w:val="clear"/>
          </w:tcPr>
          <w:p>
            <w:r>
              <w:rPr>
                <w:b w:val="false"/>
                <w:bCs w:val="false"/>
                <w:color w:val="000000"/>
                <w:sz w:val="18"/>
                <w:szCs w:val="18"/>
              </w:rPr>
              <w:t xml:space="preserve">Phase 3</w:t>
            </w:r>
          </w:p>
        </w:tc>
        <w:tc>
          <w:tcPr>
            <w:tcW w:type="dxa" w:w="0"/>
            <w:shd w:fill="FFFFFF" w:color="auto" w:val="clear"/>
          </w:tcPr>
          <w:p>
            <w:r>
              <w:rPr>
                <w:b w:val="false"/>
                <w:bCs w:val="false"/>
                <w:color w:val="000000"/>
                <w:sz w:val="18"/>
                <w:szCs w:val="18"/>
              </w:rPr>
              <w:t xml:space="preserve">Multi-agent workflows, Email Agent, company-wide rollout</w:t>
            </w:r>
          </w:p>
        </w:tc>
        <w:tc>
          <w:tcPr>
            <w:tcW w:type="dxa" w:w="0"/>
            <w:shd w:fill="FFFFFF" w:color="auto" w:val="clear"/>
          </w:tcPr>
          <w:p>
            <w:r>
              <w:rPr>
                <w:b w:val="false"/>
                <w:bCs w:val="false"/>
                <w:color w:val="000000"/>
                <w:sz w:val="18"/>
                <w:szCs w:val="18"/>
              </w:rPr>
              <w:t xml:space="preserve">Q3 2026</w:t>
            </w:r>
          </w:p>
        </w:tc>
      </w:tr>
      <w:tr>
        <w:tc>
          <w:tcPr>
            <w:tcW w:type="dxa" w:w="0"/>
            <w:shd w:fill="FFFFFF" w:color="auto" w:val="clear"/>
          </w:tcPr>
          <w:p>
            <w:r>
              <w:rPr>
                <w:b w:val="false"/>
                <w:bCs w:val="false"/>
                <w:color w:val="000000"/>
                <w:sz w:val="18"/>
                <w:szCs w:val="18"/>
              </w:rPr>
              <w:t xml:space="preserve">Phase 4</w:t>
            </w:r>
          </w:p>
        </w:tc>
        <w:tc>
          <w:tcPr>
            <w:tcW w:type="dxa" w:w="0"/>
            <w:shd w:fill="FFFFFF" w:color="auto" w:val="clear"/>
          </w:tcPr>
          <w:p>
            <w:r>
              <w:rPr>
                <w:b w:val="false"/>
                <w:bCs w:val="false"/>
                <w:color w:val="000000"/>
                <w:sz w:val="18"/>
                <w:szCs w:val="18"/>
              </w:rPr>
              <w:t xml:space="preserve">Manufacturing IoT anomaly detection integration</w:t>
            </w:r>
          </w:p>
        </w:tc>
        <w:tc>
          <w:tcPr>
            <w:tcW w:type="dxa" w:w="0"/>
            <w:shd w:fill="FFFFFF" w:color="auto" w:val="clear"/>
          </w:tcPr>
          <w:p>
            <w:r>
              <w:rPr>
                <w:b w:val="false"/>
                <w:bCs w:val="false"/>
                <w:color w:val="000000"/>
                <w:sz w:val="18"/>
                <w:szCs w:val="18"/>
              </w:rPr>
              <w:t xml:space="preserve">Q4 2026</w:t>
            </w:r>
          </w:p>
        </w:tc>
      </w:tr>
    </w:tbl>
    <w:p>
      <w:pPr>
        <w:spacing w:after="200"/>
      </w:pPr>
    </w:p>
    <w:p>
      <w:pPr>
        <w:pStyle w:val="Heading1"/>
        <w:spacing w:after="150" w:before="300"/>
      </w:pPr>
      <w:r>
        <w:t xml:space="preserve">7. Expected Benefits</w:t>
      </w:r>
    </w:p>
    <w:p>
      <w:pPr>
        <w:pStyle w:val="ListParagraph"/>
        <w:numPr>
          <w:ilvl w:val="0"/>
          <w:numId w:val="1"/>
        </w:numPr>
        <w:spacing w:after="80"/>
      </w:pPr>
      <w:r>
        <w:rPr>
          <w:sz w:val="21"/>
          <w:szCs w:val="21"/>
        </w:rPr>
        <w:t xml:space="preserve">Reduced time spent searching for policy and operational information.</w:t>
      </w:r>
    </w:p>
    <w:p>
      <w:pPr>
        <w:pStyle w:val="ListParagraph"/>
        <w:numPr>
          <w:ilvl w:val="0"/>
          <w:numId w:val="1"/>
        </w:numPr>
        <w:spacing w:after="80"/>
      </w:pPr>
      <w:r>
        <w:rPr>
          <w:sz w:val="21"/>
          <w:szCs w:val="21"/>
        </w:rPr>
        <w:t xml:space="preserve">Faster, data-grounded decision-making for management reviews.</w:t>
      </w:r>
    </w:p>
    <w:p>
      <w:pPr>
        <w:pStyle w:val="ListParagraph"/>
        <w:numPr>
          <w:ilvl w:val="0"/>
          <w:numId w:val="1"/>
        </w:numPr>
        <w:spacing w:after="80"/>
      </w:pPr>
      <w:r>
        <w:rPr>
          <w:sz w:val="21"/>
          <w:szCs w:val="21"/>
        </w:rPr>
        <w:t xml:space="preserve">A reusable foundation for future automation, including reporting and email drafting.</w:t>
      </w:r>
    </w:p>
    <w:p>
      <w:pPr>
        <w:pStyle w:val="Heading1"/>
        <w:spacing w:after="150" w:before="300"/>
      </w:pPr>
      <w:r>
        <w:t xml:space="preserve">8. Risks &amp; Mitigations</w:t>
      </w:r>
    </w:p>
    <w:p>
      <w:pPr>
        <w:spacing w:after="150"/>
      </w:pPr>
      <w:r>
        <w:rPr>
          <w:sz w:val="21"/>
          <w:szCs w:val="21"/>
        </w:rPr>
        <w:t xml:space="preserve">Key risks include data privacy exposure if access controls are misconfigured, and the possibility of inaccurate answers if retrieval quality is poor. These are mitigated through role-based access control, mandatory citation of source documents in every answer, and a human approval step before any external communication is sent.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2026-07-16T04:59:27.507Z</dcterms:created>
  <dcterms:modified xsi:type="dcterms:W3CDTF">2026-07-16T04:59:27.507Z</dcterms:modified>
</cp:coreProperties>
</file>

<file path=docProps/custom.xml><?xml version="1.0" encoding="utf-8"?>
<Properties xmlns="http://schemas.openxmlformats.org/officeDocument/2006/custom-properties" xmlns:vt="http://schemas.openxmlformats.org/officeDocument/2006/docPropsVTypes"/>
</file>