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Meeting Minutes — Monthly Management Review</w:t>
      </w:r>
    </w:p>
    <w:p>
      <w:pPr>
        <w:spacing w:after="300"/>
        <w:jc w:val="center"/>
      </w:pPr>
      <w:r>
        <w:t xml:space="preserve">ABC Manufacturing Pvt. Ltd.</w:t>
      </w:r>
      <w:r>
        <w:rPr>
          <w:color w:val="718096"/>
          <w:sz w:val="22"/>
          <w:szCs w:val="22"/>
        </w:rPr>
        <w:t xml:space="preserve">ABC Manufacturing Pvt. Ltd.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none" w:color="FFFFFF" w:sz="0"/>
              <w:left w:val="none" w:color="FFFFFF" w:sz="0"/>
              <w:bottom w:val="none" w:color="FFFFFF" w:sz="0"/>
              <w:right w:val="none" w:color="FFFFFF" w:sz="0"/>
            </w:tcBorders>
          </w:tcPr>
          <w:p>
            <w:r>
              <w:rPr>
                <w:b/>
                <w:bCs/>
                <w:color w:val="718096"/>
                <w:sz w:val="18"/>
                <w:szCs w:val="18"/>
              </w:rPr>
              <w:t xml:space="preserve">Date:</w:t>
            </w:r>
          </w:p>
        </w:tc>
        <w:tc>
          <w:tcPr>
            <w:tcW w:type="dxa" w:w="6500"/>
            <w:tcBorders>
              <w:top w:val="none" w:color="FFFFFF" w:sz="0"/>
              <w:left w:val="none" w:color="FFFFFF" w:sz="0"/>
              <w:bottom w:val="none" w:color="FFFFFF" w:sz="0"/>
              <w:right w:val="none" w:color="FFFFFF" w:sz="0"/>
            </w:tcBorders>
          </w:tcPr>
          <w:p>
            <w:r>
              <w:rPr>
                <w:color w:val="718096"/>
                <w:sz w:val="18"/>
                <w:szCs w:val="18"/>
              </w:rPr>
              <w:t xml:space="preserve">February 25, 2026</w:t>
            </w:r>
          </w:p>
        </w:tc>
      </w:tr>
      <w:tr>
        <w:tc>
          <w:tcPr>
            <w:tcW w:type="dxa" w:w="3000"/>
            <w:tcBorders>
              <w:top w:val="none" w:color="FFFFFF" w:sz="0"/>
              <w:left w:val="none" w:color="FFFFFF" w:sz="0"/>
              <w:bottom w:val="none" w:color="FFFFFF" w:sz="0"/>
              <w:right w:val="none" w:color="FFFFFF" w:sz="0"/>
            </w:tcBorders>
          </w:tcPr>
          <w:p>
            <w:r>
              <w:rPr>
                <w:b/>
                <w:bCs/>
                <w:color w:val="718096"/>
                <w:sz w:val="18"/>
                <w:szCs w:val="18"/>
              </w:rPr>
              <w:t xml:space="preserve">Time:</w:t>
            </w:r>
          </w:p>
        </w:tc>
        <w:tc>
          <w:tcPr>
            <w:tcW w:type="dxa" w:w="6500"/>
            <w:tcBorders>
              <w:top w:val="none" w:color="FFFFFF" w:sz="0"/>
              <w:left w:val="none" w:color="FFFFFF" w:sz="0"/>
              <w:bottom w:val="none" w:color="FFFFFF" w:sz="0"/>
              <w:right w:val="none" w:color="FFFFFF" w:sz="0"/>
            </w:tcBorders>
          </w:tcPr>
          <w:p>
            <w:r>
              <w:rPr>
                <w:color w:val="718096"/>
                <w:sz w:val="18"/>
                <w:szCs w:val="18"/>
              </w:rPr>
              <w:t xml:space="preserve">10:00 AM – 11:45 AM GST</w:t>
            </w:r>
          </w:p>
        </w:tc>
      </w:tr>
      <w:tr>
        <w:tc>
          <w:tcPr>
            <w:tcW w:type="dxa" w:w="3000"/>
            <w:tcBorders>
              <w:top w:val="none" w:color="FFFFFF" w:sz="0"/>
              <w:left w:val="none" w:color="FFFFFF" w:sz="0"/>
              <w:bottom w:val="none" w:color="FFFFFF" w:sz="0"/>
              <w:right w:val="none" w:color="FFFFFF" w:sz="0"/>
            </w:tcBorders>
          </w:tcPr>
          <w:p>
            <w:r>
              <w:rPr>
                <w:b/>
                <w:bCs/>
                <w:color w:val="718096"/>
                <w:sz w:val="18"/>
                <w:szCs w:val="18"/>
              </w:rPr>
              <w:t xml:space="preserve">Location:</w:t>
            </w:r>
          </w:p>
        </w:tc>
        <w:tc>
          <w:tcPr>
            <w:tcW w:type="dxa" w:w="6500"/>
            <w:tcBorders>
              <w:top w:val="none" w:color="FFFFFF" w:sz="0"/>
              <w:left w:val="none" w:color="FFFFFF" w:sz="0"/>
              <w:bottom w:val="none" w:color="FFFFFF" w:sz="0"/>
              <w:right w:val="none" w:color="FFFFFF" w:sz="0"/>
            </w:tcBorders>
          </w:tcPr>
          <w:p>
            <w:r>
              <w:rPr>
                <w:color w:val="718096"/>
                <w:sz w:val="18"/>
                <w:szCs w:val="18"/>
              </w:rPr>
              <w:t xml:space="preserve">Dubai HQ, Boardroom / Video Conference</w:t>
            </w:r>
          </w:p>
        </w:tc>
      </w:tr>
      <w:tr>
        <w:tc>
          <w:tcPr>
            <w:tcW w:type="dxa" w:w="3000"/>
            <w:tcBorders>
              <w:top w:val="none" w:color="FFFFFF" w:sz="0"/>
              <w:left w:val="none" w:color="FFFFFF" w:sz="0"/>
              <w:bottom w:val="none" w:color="FFFFFF" w:sz="0"/>
              <w:right w:val="none" w:color="FFFFFF" w:sz="0"/>
            </w:tcBorders>
          </w:tcPr>
          <w:p>
            <w:r>
              <w:rPr>
                <w:b/>
                <w:bCs/>
                <w:color w:val="718096"/>
                <w:sz w:val="18"/>
                <w:szCs w:val="18"/>
              </w:rPr>
              <w:t xml:space="preserve">Minutes Recorded By:</w:t>
            </w:r>
          </w:p>
        </w:tc>
        <w:tc>
          <w:tcPr>
            <w:tcW w:type="dxa" w:w="6500"/>
            <w:tcBorders>
              <w:top w:val="none" w:color="FFFFFF" w:sz="0"/>
              <w:left w:val="none" w:color="FFFFFF" w:sz="0"/>
              <w:bottom w:val="none" w:color="FFFFFF" w:sz="0"/>
              <w:right w:val="none" w:color="FFFFFF" w:sz="0"/>
            </w:tcBorders>
          </w:tcPr>
          <w:p>
            <w:r>
              <w:rPr>
                <w:color w:val="718096"/>
                <w:sz w:val="18"/>
                <w:szCs w:val="18"/>
              </w:rPr>
              <w:t xml:space="preserve">Office of the CEO</w:t>
            </w:r>
          </w:p>
        </w:tc>
      </w:tr>
    </w:tbl>
    <w:p>
      <w:pPr>
        <w:spacing w:after="200"/>
      </w:pPr>
    </w:p>
    <w:p>
      <w:pPr>
        <w:pStyle w:val="Heading1"/>
        <w:spacing w:after="150" w:before="300"/>
      </w:pPr>
      <w:r>
        <w:t xml:space="preserve">1. Attendees</w:t>
      </w:r>
    </w:p>
    <w:p>
      <w:pPr>
        <w:pStyle w:val="ListParagraph"/>
        <w:numPr>
          <w:ilvl w:val="0"/>
          <w:numId w:val="1"/>
        </w:numPr>
        <w:spacing w:after="80"/>
      </w:pPr>
      <w:r>
        <w:rPr>
          <w:sz w:val="21"/>
          <w:szCs w:val="21"/>
        </w:rPr>
        <w:t xml:space="preserve">Rajesh Menon — Chief Executive Officer (Chair)</w:t>
      </w:r>
    </w:p>
    <w:p>
      <w:pPr>
        <w:pStyle w:val="ListParagraph"/>
        <w:numPr>
          <w:ilvl w:val="0"/>
          <w:numId w:val="1"/>
        </w:numPr>
        <w:spacing w:after="80"/>
      </w:pPr>
      <w:r>
        <w:rPr>
          <w:sz w:val="21"/>
          <w:szCs w:val="21"/>
        </w:rPr>
        <w:t xml:space="preserve">Fatima Al Suwaidi — Chief Financial Officer</w:t>
      </w:r>
    </w:p>
    <w:p>
      <w:pPr>
        <w:pStyle w:val="ListParagraph"/>
        <w:numPr>
          <w:ilvl w:val="0"/>
          <w:numId w:val="1"/>
        </w:numPr>
        <w:spacing w:after="80"/>
      </w:pPr>
      <w:r>
        <w:rPr>
          <w:sz w:val="21"/>
          <w:szCs w:val="21"/>
        </w:rPr>
        <w:t xml:space="preserve">Arjun Nair — Head of Manufacturing Operations</w:t>
      </w:r>
    </w:p>
    <w:p>
      <w:pPr>
        <w:pStyle w:val="ListParagraph"/>
        <w:numPr>
          <w:ilvl w:val="0"/>
          <w:numId w:val="1"/>
        </w:numPr>
        <w:spacing w:after="80"/>
      </w:pPr>
      <w:r>
        <w:rPr>
          <w:sz w:val="21"/>
          <w:szCs w:val="21"/>
        </w:rPr>
        <w:t xml:space="preserve">Priya Krishnan — Head of Human Resources</w:t>
      </w:r>
    </w:p>
    <w:p>
      <w:pPr>
        <w:pStyle w:val="ListParagraph"/>
        <w:numPr>
          <w:ilvl w:val="0"/>
          <w:numId w:val="1"/>
        </w:numPr>
        <w:spacing w:after="80"/>
      </w:pPr>
      <w:r>
        <w:rPr>
          <w:sz w:val="21"/>
          <w:szCs w:val="21"/>
        </w:rPr>
        <w:t xml:space="preserve">Sara Al Farsi — Head of Sales</w:t>
      </w:r>
    </w:p>
    <w:p>
      <w:pPr>
        <w:pStyle w:val="ListParagraph"/>
        <w:numPr>
          <w:ilvl w:val="0"/>
          <w:numId w:val="1"/>
        </w:numPr>
        <w:spacing w:after="80"/>
      </w:pPr>
      <w:r>
        <w:rPr>
          <w:sz w:val="21"/>
          <w:szCs w:val="21"/>
        </w:rPr>
        <w:t xml:space="preserve">Vikram Rao — Head of IT</w:t>
      </w:r>
    </w:p>
    <w:p>
      <w:pPr>
        <w:pStyle w:val="Heading1"/>
        <w:spacing w:after="150" w:before="300"/>
      </w:pPr>
      <w:r>
        <w:t xml:space="preserve">2. Agenda</w:t>
      </w:r>
    </w:p>
    <w:p>
      <w:pPr>
        <w:pStyle w:val="ListParagraph"/>
        <w:numPr>
          <w:ilvl w:val="0"/>
          <w:numId w:val="1"/>
        </w:numPr>
        <w:spacing w:after="80"/>
      </w:pPr>
      <w:r>
        <w:rPr>
          <w:sz w:val="21"/>
          <w:szCs w:val="21"/>
        </w:rPr>
        <w:t xml:space="preserve">Follow-up on January action items</w:t>
      </w:r>
    </w:p>
    <w:p>
      <w:pPr>
        <w:pStyle w:val="ListParagraph"/>
        <w:numPr>
          <w:ilvl w:val="0"/>
          <w:numId w:val="1"/>
        </w:numPr>
        <w:spacing w:after="80"/>
      </w:pPr>
      <w:r>
        <w:rPr>
          <w:sz w:val="21"/>
          <w:szCs w:val="21"/>
        </w:rPr>
        <w:t xml:space="preserve">Enterprise AI Assistant — pilot scope and data governance</w:t>
      </w:r>
    </w:p>
    <w:p>
      <w:pPr>
        <w:pStyle w:val="ListParagraph"/>
        <w:numPr>
          <w:ilvl w:val="0"/>
          <w:numId w:val="1"/>
        </w:numPr>
        <w:spacing w:after="80"/>
      </w:pPr>
      <w:r>
        <w:rPr>
          <w:sz w:val="21"/>
          <w:szCs w:val="21"/>
        </w:rPr>
        <w:t xml:space="preserve">January 2026 sales performance</w:t>
      </w:r>
    </w:p>
    <w:p>
      <w:pPr>
        <w:pStyle w:val="ListParagraph"/>
        <w:numPr>
          <w:ilvl w:val="0"/>
          <w:numId w:val="1"/>
        </w:numPr>
        <w:spacing w:after="80"/>
      </w:pPr>
      <w:r>
        <w:rPr>
          <w:sz w:val="21"/>
          <w:szCs w:val="21"/>
        </w:rPr>
        <w:t xml:space="preserve">HR: Q1 hiring plan and hybrid work policy rollout</w:t>
      </w:r>
    </w:p>
    <w:p>
      <w:pPr>
        <w:pStyle w:val="Heading1"/>
        <w:spacing w:after="150" w:before="300"/>
      </w:pPr>
      <w:r>
        <w:t xml:space="preserve">3. Discussion &amp; Decisions</w:t>
      </w:r>
    </w:p>
    <w:p>
      <w:pPr>
        <w:pStyle w:val="Heading2"/>
        <w:spacing w:after="100" w:before="200"/>
      </w:pPr>
      <w:r>
        <w:t xml:space="preserve">3.1 Follow-up on January Actions</w:t>
      </w:r>
    </w:p>
    <w:p>
      <w:pPr>
        <w:spacing w:after="150"/>
      </w:pPr>
      <w:r>
        <w:rPr>
          <w:sz w:val="21"/>
          <w:szCs w:val="21"/>
        </w:rPr>
        <w:t xml:space="preserve">The FY2025 Annual Report was circulated on schedule. The Bangalore capacity expansion proposal is in progress and will be presented at the March review. The top 20 account plan was shared with the CEO on February 9.</w:t>
      </w:r>
    </w:p>
    <w:p>
      <w:pPr>
        <w:pStyle w:val="Heading2"/>
        <w:spacing w:after="100" w:before="200"/>
      </w:pPr>
      <w:r>
        <w:t xml:space="preserve">3.2 Enterprise AI Assistant Pilot</w:t>
      </w:r>
    </w:p>
    <w:p>
      <w:pPr>
        <w:spacing w:after="150"/>
      </w:pPr>
      <w:r>
        <w:rPr>
          <w:sz w:val="21"/>
          <w:szCs w:val="21"/>
        </w:rPr>
        <w:t xml:space="preserve">The Head of IT presented a detailed scope for the AI Assistant pilot, confirming it will initially index HR policy documents and connect to the Sales and Production SQL databases via a read-only service account. Data governance review is required before any Finance data is connected. Action: IT and Finance to jointly define data access boundaries by March 15. The full plan is documented separately in the Project Roadmap.</w:t>
      </w:r>
    </w:p>
    <w:p>
      <w:pPr>
        <w:pStyle w:val="Heading2"/>
        <w:spacing w:after="100" w:before="200"/>
      </w:pPr>
      <w:r>
        <w:t xml:space="preserve">3.3 Sales Performance</w:t>
      </w:r>
    </w:p>
    <w:p>
      <w:pPr>
        <w:spacing w:after="150"/>
      </w:pPr>
      <w:r>
        <w:rPr>
          <w:sz w:val="21"/>
          <w:szCs w:val="21"/>
        </w:rPr>
        <w:t xml:space="preserve">January 2026 revenue came in at AED 34.2M, slightly ahead of the AED 33M monthly target, driven by two large equipment orders from UAE-based energy customers.</w:t>
      </w:r>
    </w:p>
    <w:p>
      <w:pPr>
        <w:pStyle w:val="Heading2"/>
        <w:spacing w:after="100" w:before="200"/>
      </w:pPr>
      <w:r>
        <w:t xml:space="preserve">3.4 HR Update</w:t>
      </w:r>
    </w:p>
    <w:p>
      <w:pPr>
        <w:spacing w:after="150"/>
      </w:pPr>
      <w:r>
        <w:rPr>
          <w:sz w:val="21"/>
          <w:szCs w:val="21"/>
        </w:rPr>
        <w:t xml:space="preserve">HR confirmed the updated Work From Home Policy takes effect March 1, 2026, extending hybrid eligibility to additional corporate roles. Q1 hiring plan targets 18 new hires across Sales, Manufacturing Engineering, and IT.</w:t>
      </w:r>
    </w:p>
    <w:p>
      <w:pPr>
        <w:pStyle w:val="Heading1"/>
        <w:spacing w:after="150" w:before="300"/>
      </w:pPr>
      <w:r>
        <w:t xml:space="preserve">4. Action 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00"/>
      </w:tblGrid>
      <w:tr>
        <w:tc>
          <w:tcPr>
            <w:tcW w:type="dxa" w:w="0"/>
            <w:shd w:fill="1A2B4C" w:color="auto" w:val="clear"/>
          </w:tcPr>
          <w:p>
            <w:r>
              <w:rPr>
                <w:b/>
                <w:bCs/>
                <w:color w:val="FFFFFF"/>
                <w:sz w:val="18"/>
                <w:szCs w:val="18"/>
              </w:rPr>
              <w:t xml:space="preserve">Action</w:t>
            </w:r>
          </w:p>
        </w:tc>
        <w:tc>
          <w:tcPr>
            <w:tcW w:type="dxa" w:w="0"/>
            <w:shd w:fill="1A2B4C" w:color="auto" w:val="clear"/>
          </w:tcPr>
          <w:p>
            <w:r>
              <w:rPr>
                <w:b/>
                <w:bCs/>
                <w:color w:val="FFFFFF"/>
                <w:sz w:val="18"/>
                <w:szCs w:val="18"/>
              </w:rPr>
              <w:t xml:space="preserve">Owner</w:t>
            </w:r>
          </w:p>
        </w:tc>
        <w:tc>
          <w:tcPr>
            <w:tcW w:type="dxa" w:w="0"/>
            <w:shd w:fill="1A2B4C" w:color="auto" w:val="clear"/>
          </w:tcPr>
          <w:p>
            <w:r>
              <w:rPr>
                <w:b/>
                <w:bCs/>
                <w:color w:val="FFFFFF"/>
                <w:sz w:val="18"/>
                <w:szCs w:val="18"/>
              </w:rPr>
              <w:t xml:space="preserve">Due Date</w:t>
            </w:r>
          </w:p>
        </w:tc>
      </w:tr>
      <w:tr>
        <w:tc>
          <w:tcPr>
            <w:tcW w:type="dxa" w:w="0"/>
            <w:shd w:fill="FFFFFF" w:color="auto" w:val="clear"/>
          </w:tcPr>
          <w:p>
            <w:r>
              <w:rPr>
                <w:b w:val="false"/>
                <w:bCs w:val="false"/>
                <w:color w:val="000000"/>
                <w:sz w:val="18"/>
                <w:szCs w:val="18"/>
              </w:rPr>
              <w:t xml:space="preserve">Present Bangalore capacity expansion proposal</w:t>
            </w:r>
          </w:p>
        </w:tc>
        <w:tc>
          <w:tcPr>
            <w:tcW w:type="dxa" w:w="0"/>
            <w:shd w:fill="FFFFFF" w:color="auto" w:val="clear"/>
          </w:tcPr>
          <w:p>
            <w:r>
              <w:rPr>
                <w:b w:val="false"/>
                <w:bCs w:val="false"/>
                <w:color w:val="000000"/>
                <w:sz w:val="18"/>
                <w:szCs w:val="18"/>
              </w:rPr>
              <w:t xml:space="preserve">Head of Manufacturing</w:t>
            </w:r>
          </w:p>
        </w:tc>
        <w:tc>
          <w:tcPr>
            <w:tcW w:type="dxa" w:w="0"/>
            <w:shd w:fill="FFFFFF" w:color="auto" w:val="clear"/>
          </w:tcPr>
          <w:p>
            <w:r>
              <w:rPr>
                <w:b w:val="false"/>
                <w:bCs w:val="false"/>
                <w:color w:val="000000"/>
                <w:sz w:val="18"/>
                <w:szCs w:val="18"/>
              </w:rPr>
              <w:t xml:space="preserve">Mar 25, 2026</w:t>
            </w:r>
          </w:p>
        </w:tc>
      </w:tr>
      <w:tr>
        <w:tc>
          <w:tcPr>
            <w:tcW w:type="dxa" w:w="0"/>
            <w:shd w:fill="FFFFFF" w:color="auto" w:val="clear"/>
          </w:tcPr>
          <w:p>
            <w:r>
              <w:rPr>
                <w:b w:val="false"/>
                <w:bCs w:val="false"/>
                <w:color w:val="000000"/>
                <w:sz w:val="18"/>
                <w:szCs w:val="18"/>
              </w:rPr>
              <w:t xml:space="preserve">Define AI Assistant data access boundaries</w:t>
            </w:r>
          </w:p>
        </w:tc>
        <w:tc>
          <w:tcPr>
            <w:tcW w:type="dxa" w:w="0"/>
            <w:shd w:fill="FFFFFF" w:color="auto" w:val="clear"/>
          </w:tcPr>
          <w:p>
            <w:r>
              <w:rPr>
                <w:b w:val="false"/>
                <w:bCs w:val="false"/>
                <w:color w:val="000000"/>
                <w:sz w:val="18"/>
                <w:szCs w:val="18"/>
              </w:rPr>
              <w:t xml:space="preserve">Head of IT / CFO</w:t>
            </w:r>
          </w:p>
        </w:tc>
        <w:tc>
          <w:tcPr>
            <w:tcW w:type="dxa" w:w="0"/>
            <w:shd w:fill="FFFFFF" w:color="auto" w:val="clear"/>
          </w:tcPr>
          <w:p>
            <w:r>
              <w:rPr>
                <w:b w:val="false"/>
                <w:bCs w:val="false"/>
                <w:color w:val="000000"/>
                <w:sz w:val="18"/>
                <w:szCs w:val="18"/>
              </w:rPr>
              <w:t xml:space="preserve">Mar 15, 2026</w:t>
            </w:r>
          </w:p>
        </w:tc>
      </w:tr>
      <w:tr>
        <w:tc>
          <w:tcPr>
            <w:tcW w:type="dxa" w:w="0"/>
            <w:shd w:fill="FFFFFF" w:color="auto" w:val="clear"/>
          </w:tcPr>
          <w:p>
            <w:r>
              <w:rPr>
                <w:b w:val="false"/>
                <w:bCs w:val="false"/>
                <w:color w:val="000000"/>
                <w:sz w:val="18"/>
                <w:szCs w:val="18"/>
              </w:rPr>
              <w:t xml:space="preserve">Communicate updated WFH Policy to all staff</w:t>
            </w:r>
          </w:p>
        </w:tc>
        <w:tc>
          <w:tcPr>
            <w:tcW w:type="dxa" w:w="0"/>
            <w:shd w:fill="FFFFFF" w:color="auto" w:val="clear"/>
          </w:tcPr>
          <w:p>
            <w:r>
              <w:rPr>
                <w:b w:val="false"/>
                <w:bCs w:val="false"/>
                <w:color w:val="000000"/>
                <w:sz w:val="18"/>
                <w:szCs w:val="18"/>
              </w:rPr>
              <w:t xml:space="preserve">Head of HR</w:t>
            </w:r>
          </w:p>
        </w:tc>
        <w:tc>
          <w:tcPr>
            <w:tcW w:type="dxa" w:w="0"/>
            <w:shd w:fill="FFFFFF" w:color="auto" w:val="clear"/>
          </w:tcPr>
          <w:p>
            <w:r>
              <w:rPr>
                <w:b w:val="false"/>
                <w:bCs w:val="false"/>
                <w:color w:val="000000"/>
                <w:sz w:val="18"/>
                <w:szCs w:val="18"/>
              </w:rPr>
              <w:t xml:space="preserve">Feb 28, 2026</w:t>
            </w:r>
          </w:p>
        </w:tc>
      </w:tr>
    </w:tbl>
    <w:p>
      <w:pPr>
        <w:spacing w:after="200"/>
      </w:pPr>
    </w:p>
    <w:p>
      <w:pPr>
        <w:pStyle w:val="Heading1"/>
        <w:spacing w:after="150" w:before="300"/>
      </w:pPr>
      <w:r>
        <w:t xml:space="preserve">5. Next Meeting</w:t>
      </w:r>
    </w:p>
    <w:p>
      <w:pPr>
        <w:spacing w:after="150"/>
      </w:pPr>
      <w:r>
        <w:rPr>
          <w:sz w:val="21"/>
          <w:szCs w:val="21"/>
        </w:rPr>
        <w:t xml:space="preserve">The next Monthly Management Review is scheduled for March 25, 2026, 10:00 AM GST.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2026-07-16T04:59:27.397Z</dcterms:created>
  <dcterms:modified xsi:type="dcterms:W3CDTF">2026-07-16T04:59:27.397Z</dcterms:modified>
</cp:coreProperties>
</file>

<file path=docProps/custom.xml><?xml version="1.0" encoding="utf-8"?>
<Properties xmlns="http://schemas.openxmlformats.org/officeDocument/2006/custom-properties" xmlns:vt="http://schemas.openxmlformats.org/officeDocument/2006/docPropsVTypes"/>
</file>