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Meeting Minutes — Monthly Management Review</w:t>
      </w:r>
    </w:p>
    <w:p>
      <w:pPr>
        <w:spacing w:after="300"/>
        <w:jc w:val="center"/>
      </w:pPr>
      <w:r>
        <w:t xml:space="preserve">ABC Manufacturing Pvt. Ltd.</w:t>
      </w:r>
      <w:r>
        <w:rPr>
          <w:color w:val="718096"/>
          <w:sz w:val="22"/>
          <w:szCs w:val="22"/>
        </w:rPr>
        <w:t xml:space="preserve">ABC Manufacturing Pvt. Ltd.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718096"/>
                <w:sz w:val="18"/>
                <w:szCs w:val="18"/>
              </w:rPr>
              <w:t xml:space="preserve">Date: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718096"/>
                <w:sz w:val="18"/>
                <w:szCs w:val="18"/>
              </w:rPr>
              <w:t xml:space="preserve">January 28,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718096"/>
                <w:sz w:val="18"/>
                <w:szCs w:val="18"/>
              </w:rPr>
              <w:t xml:space="preserve">Time: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718096"/>
                <w:sz w:val="18"/>
                <w:szCs w:val="18"/>
              </w:rPr>
              <w:t xml:space="preserve">10:00 AM – 11:30 AM GST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718096"/>
                <w:sz w:val="18"/>
                <w:szCs w:val="18"/>
              </w:rPr>
              <w:t xml:space="preserve">Location: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718096"/>
                <w:sz w:val="18"/>
                <w:szCs w:val="18"/>
              </w:rPr>
              <w:t xml:space="preserve">Dubai HQ, Boardroom / Video Conference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718096"/>
                <w:sz w:val="18"/>
                <w:szCs w:val="18"/>
              </w:rPr>
              <w:t xml:space="preserve">Minutes Recorded By: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718096"/>
                <w:sz w:val="18"/>
                <w:szCs w:val="18"/>
              </w:rPr>
              <w:t xml:space="preserve">Office of the CEO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Attendees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Rajesh Menon — Chief Executive Officer (Chair)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Fatima Al Suwaidi — Chief Financial Officer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Arjun Nair — Head of Manufacturing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Priya Krishnan — Head of Human Resources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Sara Al Farsi — Head of Sales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Vikram Rao — Head of 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Mohammed Al Zaabi — Head of Procurement</w:t>
      </w:r>
    </w:p>
    <w:p>
      <w:pPr>
        <w:pStyle w:val="Heading1"/>
        <w:spacing w:after="150" w:before="300"/>
      </w:pPr>
      <w:r>
        <w:t xml:space="preserve">2. Agenda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Review of December 2025 &amp; full-year FY2025 financial performance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Manufacturing operations update — Kochi &amp; Bangalore plants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Sales pipeline and Q1 2026 targets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IT project update — Enterprise AI Assistant initiative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Procurement: steel price outlook and supplier risk</w:t>
      </w:r>
    </w:p>
    <w:p>
      <w:pPr>
        <w:pStyle w:val="Heading1"/>
        <w:spacing w:after="150" w:before="300"/>
      </w:pPr>
      <w:r>
        <w:t xml:space="preserve">3. Discussion &amp; Decisions</w:t>
      </w:r>
    </w:p>
    <w:p>
      <w:pPr>
        <w:pStyle w:val="Heading2"/>
        <w:spacing w:after="100" w:before="200"/>
      </w:pPr>
      <w:r>
        <w:t xml:space="preserve">3.1 Financial Performance</w:t>
      </w:r>
    </w:p>
    <w:p>
      <w:pPr>
        <w:spacing w:after="150"/>
      </w:pPr>
      <w:r>
        <w:rPr>
          <w:sz w:val="21"/>
          <w:szCs w:val="21"/>
        </w:rPr>
        <w:t xml:space="preserve">The CFO presented the FY2025 results, confirming revenue of AED 412.6M against a budget of AED 405M, a 1.9% favorable variance. Net profit margin improved to 11.7% from 11.0% in FY2024. The Board Annual Report will be circulated to all department heads by February 5.</w:t>
      </w:r>
    </w:p>
    <w:p>
      <w:pPr>
        <w:pStyle w:val="Heading2"/>
        <w:spacing w:after="100" w:before="200"/>
      </w:pPr>
      <w:r>
        <w:t xml:space="preserve">3.2 Manufacturing Operations</w:t>
      </w:r>
    </w:p>
    <w:p>
      <w:pPr>
        <w:spacing w:after="150"/>
      </w:pPr>
      <w:r>
        <w:rPr>
          <w:sz w:val="21"/>
          <w:szCs w:val="21"/>
        </w:rPr>
        <w:t xml:space="preserve">The Head of Manufacturing reported that the Kochi plant's automation upgrade, completed in Q2 2025, has already reduced average unplanned downtime by 8%. Bangalore plant utilization stood at 87% for December. Action: Operations to submit a capacity expansion proposal for Bangalore by February 20.</w:t>
      </w:r>
    </w:p>
    <w:p>
      <w:pPr>
        <w:pStyle w:val="Heading2"/>
        <w:spacing w:after="100" w:before="200"/>
      </w:pPr>
      <w:r>
        <w:t xml:space="preserve">3.3 Sales &amp; Pipeline</w:t>
      </w:r>
    </w:p>
    <w:p>
      <w:pPr>
        <w:spacing w:after="150"/>
      </w:pPr>
      <w:r>
        <w:rPr>
          <w:sz w:val="21"/>
          <w:szCs w:val="21"/>
        </w:rPr>
        <w:t xml:space="preserve">Sales reported a strong order backlog entering 2026, with the GCC energy sector remaining the largest contributor. Q1 2026 sales target was confirmed at AED 108M. Action: Sales to share the top 20 account plan with the CEO by February 10.</w:t>
      </w:r>
    </w:p>
    <w:p>
      <w:pPr>
        <w:pStyle w:val="Heading2"/>
        <w:spacing w:after="100" w:before="200"/>
      </w:pPr>
      <w:r>
        <w:t xml:space="preserve">3.4 IT — Enterprise AI Assistant Initiative</w:t>
      </w:r>
    </w:p>
    <w:p>
      <w:pPr>
        <w:spacing w:after="150"/>
      </w:pPr>
      <w:r>
        <w:rPr>
          <w:sz w:val="21"/>
          <w:szCs w:val="21"/>
        </w:rPr>
        <w:t xml:space="preserve">The Head of IT provided an update on the internal Enterprise AI Assistant project (see the AI Project Proposal document), which aims to give employees natural-language access to HR policies, sales data, and production reports. The proposal was well received; the Board approved moving to a pilot phase covering HR and Finance data only.</w:t>
      </w:r>
    </w:p>
    <w:p>
      <w:pPr>
        <w:pStyle w:val="Heading2"/>
        <w:spacing w:after="100" w:before="200"/>
      </w:pPr>
      <w:r>
        <w:t xml:space="preserve">3.5 Procurement</w:t>
      </w:r>
    </w:p>
    <w:p>
      <w:pPr>
        <w:spacing w:after="150"/>
      </w:pPr>
      <w:r>
        <w:rPr>
          <w:sz w:val="21"/>
          <w:szCs w:val="21"/>
        </w:rPr>
        <w:t xml:space="preserve">Steel input costs are expected to rise modestly (3-5%) in H1 2026 due to regional supply constraints. Procurement is diversifying supplier base to mitigate single-source risk, particularly for the Bangalore plant.</w:t>
      </w:r>
    </w:p>
    <w:p>
      <w:pPr>
        <w:pStyle w:val="Heading1"/>
        <w:spacing w:after="150" w:before="300"/>
      </w:pPr>
      <w:r>
        <w:t xml:space="preserve">4. Action 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00"/>
      </w:tblGrid>
      <w:tr>
        <w:tc>
          <w:tcPr>
            <w:tcW w:type="dxa" w:w="0"/>
            <w:shd w:fill="1A2B4C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0"/>
            <w:shd w:fill="1A2B4C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0"/>
            <w:shd w:fill="1A2B4C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Circulate FY2025 Annual Report to department heads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CFO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Feb 5, 2026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 Bangalore capacity expansion proposal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 of Manufacturing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Feb 20, 2026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 top 20 account plan with CEO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 of Sales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Feb 10, 2026</w:t>
            </w:r>
          </w:p>
        </w:tc>
      </w:tr>
      <w:tr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 AI Assistant pilot (HR + Finance)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 of IT</w:t>
            </w:r>
          </w:p>
        </w:tc>
        <w:tc>
          <w:tcPr>
            <w:tcW w:type="dxa" w:w="0"/>
            <w:shd w:fill="FFFFFF" w:color="auto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Feb 28, 2026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Next Meeting</w:t>
      </w:r>
    </w:p>
    <w:p>
      <w:pPr>
        <w:spacing w:after="150"/>
      </w:pPr>
      <w:r>
        <w:rPr>
          <w:sz w:val="21"/>
          <w:szCs w:val="21"/>
        </w:rPr>
        <w:t xml:space="preserve">The next Monthly Management Review is scheduled for February 25, 2026, 10:00 AM GST.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2026-07-16T04:59:27.362Z</dcterms:created>
  <dcterms:modified xsi:type="dcterms:W3CDTF">2026-07-16T04:59:27.362Z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