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2563EB"/>
          <w:sz w:val="60"/>
          <w:szCs w:val="60"/>
        </w:rPr>
        <w:t xml:space="preserve">GL GUARDIAN</w:t>
      </w:r>
    </w:p>
    <w:p>
      <w:pPr>
        <w:spacing w:after="40"/>
        <w:jc w:val="center"/>
      </w:pPr>
      <w:r>
        <w:rPr>
          <w:color w:val="151A2D"/>
          <w:sz w:val="30"/>
          <w:szCs w:val="30"/>
        </w:rPr>
        <w:t xml:space="preserve">Brand &amp; Presentation Style Guide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Grounded in the product's real design tokens</w:t>
      </w:r>
    </w:p>
    <w:p>
      <w:r>
        <w:br w:type="page"/>
      </w:r>
    </w:p>
    <w:p>
      <w:pPr>
        <w:pStyle w:val="Heading1"/>
      </w:pPr>
      <w:r>
        <w:t xml:space="preserve">1. Brand essence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Personality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Rigorous, calm, credible. A skeptical investigator, not a hype machine. Confident without shouting.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Voice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Plain, precise, evidence-first. Short sentences. Claims are backed. Never oversells.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Signature idea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The adversarial debate — Challenger vs. Defender. This tension is the brand; the palette encodes it.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Feel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Enterprise SaaS with cinematic restraint. Glassmorphism, soft depth, generous whitespace, purposeful motion.</w:t>
            </w:r>
          </w:p>
        </w:tc>
      </w:tr>
    </w:tbl>
    <w:p>
      <w:pPr>
        <w:pBdr>
          <w:left w:val="single" w:color="2563EB" w:sz="18" w:space="12"/>
        </w:pBdr>
        <w:spacing w:after="160" w:before="80"/>
      </w:pPr>
      <w:r>
        <w:rPr>
          <w:i/>
          <w:iCs/>
          <w:color w:val="0B1220"/>
        </w:rPr>
        <w:t xml:space="preserve">If you remember one rule: blue leads, red and emerald mean something. The two risk colors are the Challenger and the Defender — never spend them on decoration.</w:t>
      </w:r>
    </w:p>
    <w:p>
      <w:pPr>
        <w:pStyle w:val="Heading1"/>
      </w:pPr>
      <w:r>
        <w:t xml:space="preserve">2. Color palette</w:t>
      </w:r>
    </w:p>
    <w:p>
      <w:pPr>
        <w:spacing w:after="120"/>
      </w:pPr>
      <w:r>
        <w:t xml:space="preserve">Taken directly from the product's Tailwind config and CSS custom properties, so the deck matches the app.</w:t>
      </w:r>
    </w:p>
    <w:p>
      <w:pPr>
        <w:pStyle w:val="Heading3"/>
      </w:pPr>
      <w:r>
        <w:t xml:space="preserve">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>GL Guardian Blue (primary)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#2563EB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Brand, CTAs, links, data flow. Dominant accent (60–70%).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Keynote Navy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#0B1220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Dark backgrounds, headings, trust scenes.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Body Ink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#151A2D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151A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Body text on light surfaces.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Defender Emerald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#10B981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10B98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Defender, cleared/verified, auto-clear, success.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Challenger Red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#EF4444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F44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Challenger, critical risk, escalate, tamper.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Review Amber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#F59E0B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F59E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Human-review lane, warnings, in-progress.</w:t>
            </w:r>
          </w:p>
        </w:tc>
      </w:tr>
    </w:tbl>
    <w:p>
      <w:pPr>
        <w:pStyle w:val="Heading3"/>
      </w:pPr>
      <w:r>
        <w:t xml:space="preserve">Support &amp; neutrals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Info Blue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#3B82F6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3B82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Secondary info, ‘sampled’ highlight.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Muted Slate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#64748B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6474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Captions, secondary labels, ‘before’ state.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Ice / Primary-soft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#EAF1FB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Soft fills, chips, table headers.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Light Surface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#F5F7FB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Light-scene backgrounds, cards.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Border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#D8DFEC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D8DF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Hairlines, dividers, outlines.</w:t>
            </w:r>
          </w:p>
        </w:tc>
      </w:tr>
    </w:tbl>
    <w:p>
      <w:pPr>
        <w:pStyle w:val="Heading3"/>
      </w:pPr>
      <w:r>
        <w:t xml:space="preserve">Semantic tokens (product source of truth)</w:t>
      </w:r>
    </w:p>
    <w:p>
      <w:pPr>
        <w:spacing w:after="120"/>
      </w:pPr>
      <w:r>
        <w:t xml:space="preserve">The app expresses these as HSL CSS variables. Deck equivalents in hex above. Success/warning/danger each also have a ‘soft’ tint (background) and a ‘border’ variant — mirror that structure in Canva as tint styles.</w:t>
      </w:r>
    </w:p>
    <w:p>
      <w:pPr>
        <w:pStyle w:val="Heading3"/>
      </w:pPr>
      <w:r>
        <w:t xml:space="preserve">Usage ratios</w:t>
      </w:r>
    </w:p>
    <w:p>
      <w:pPr>
        <w:pStyle w:val="ListParagraph"/>
        <w:numPr>
          <w:ilvl w:val="0"/>
          <w:numId w:val="2"/>
        </w:numPr>
        <w:spacing w:after="60"/>
      </w:pPr>
      <w:r>
        <w:t>Dominant: GL Guardian Blue + navy/white ground — ~65% of every slide's color weight.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Support: slate + ice for structure — ~25%.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Reserved semantics: emerald / red / amber — ~10%, only where they carry meaning.</w:t>
      </w:r>
    </w:p>
    <w:p>
      <w:r>
        <w:br w:type="page"/>
      </w:r>
    </w:p>
    <w:p>
      <w:pPr>
        <w:pStyle w:val="Heading1"/>
      </w:pPr>
      <w:r>
        <w:t xml:space="preserve">3.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Primary (UI/marketing)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Inter — humanist sans, the product's actual UI font. Use for titles, headers, body.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Monospace (data)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JetBrains Mono — for confidence scores, hashes, provider names, code. Signals ‘machine output’.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Deck build substitute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Arial stands in for Inter where Inter isn't installed (e.g. the .pptx render). Swap to Inter in Canva.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Fallback stack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Inter → ui-sans-serif → system-ui → Arial.  Mono: JetBrains Mono → ui-monospace → Courier New.</w:t>
            </w:r>
          </w:p>
        </w:tc>
      </w:tr>
    </w:tbl>
    <w:p>
      <w:pPr>
        <w:pStyle w:val="Heading3"/>
      </w:pPr>
      <w:r>
        <w:t xml:space="preserve">Type scale (16:9 deck)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 / weight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Scene title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40–44pt Bold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Tight tracking; 1–2 lines max.</w:t>
            </w:r>
          </w:p>
        </w:tc>
      </w:tr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Section header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20–24pt Semibold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Card/section labels.</w:t>
            </w:r>
          </w:p>
        </w:tc>
      </w:tr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14–16pt Regular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Left-aligned, never centered.</w:t>
            </w:r>
          </w:p>
        </w:tc>
      </w:tr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Caption / label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11–13pt Medium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Uppercase for stat labels.</w:t>
            </w:r>
          </w:p>
        </w:tc>
      </w:tr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Stat numeral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60–72pt Bold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The count-up figures.</w:t>
            </w:r>
          </w:p>
        </w:tc>
      </w:tr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Data / hash / score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12–14pt Mono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JetBrains Mono only.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Hierarchy comes from size contrast — titles at least 2.5× body.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two type sizes per slide beyond the title.</w:t>
      </w:r>
    </w:p>
    <w:p>
      <w:r>
        <w:br w:type="page"/>
      </w:r>
    </w:p>
    <w:p>
      <w:pPr>
        <w:pStyle w:val="Heading1"/>
      </w:pPr>
      <w:r>
        <w:t xml:space="preserve">4. Iconography</w:t>
      </w:r>
    </w:p>
    <w:p>
      <w:pPr>
        <w:spacing w:after="120"/>
      </w:pPr>
      <w:r>
        <w:t xml:space="preserve">Use Lucide throughout (the product's icon set): 1.5–2px stroke, rounded caps/joins, single-weight. Place each icon in a soft-tinted circle — this circle is the deck's repeating visual motif.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Lucide icon + circle color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network / git-branch — blue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Evidence agent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file-search — blue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Challenger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swords / shield-alert — red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Defender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shield-check — emerald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Adjudicator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gavel / scale — navy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Verifier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badge-check — emerald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gauge — slate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Human review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user-check — amber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link / fingerprint — navy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RAG / sources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database, plug, book — blue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Reports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file-text — blue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Roadmap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rocket / sparkles — blue circle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Never mix filled and outline icons on one slide.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Circle diameter ≈ 2.5× the icon; fill = soft tint of the semantic color.</w:t>
      </w:r>
    </w:p>
    <w:p>
      <w:r>
        <w:br w:type="page"/>
      </w:r>
    </w:p>
    <w:p>
      <w:pPr>
        <w:pStyle w:val="Heading1"/>
      </w:pPr>
      <w:r>
        <w:t xml:space="preserve">5. Surfaces &amp; glassmorphism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Rounded 12px (product --radius 0.75rem). Soft shadow (shadow.card): 0 1px 2px + 0 10px 24px at ~5% navy.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Panels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Heavier float (shadow.panel): 0 16px 40px at ~12% navy. For the hero crew/debate frames.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Glass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On dark scenes: 8–12% white fill, 1px 15% white border, backdrop blur. Keeps text legible on the particle field.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Spacing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0.5" min slide margins; 0.3–0.5" between blocks; let it breathe.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Dark variant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Navy #0B1220 ground, glass cards, ice/white text. Title, problem, audit-trail, behind-the-scenes, close.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Light variant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#F5F7FB ground, white cards, ink text. All the ‘how it works’ middle scenes.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Easing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Ease-out cubic (0.16,1,0.3,1) for entrances; ease-in-out for meters/camera; springs for interactive.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Durations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200ms micro · 400ms reveals · 800–1500ms hero. Nothing over 1.5s.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Stagger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120ms between siblings.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Signature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One day-break dark→light wipe at the Problem→Vision pivot. Particle motif bookends open &amp; close.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Restraint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One hero animation per slide; everything else is a quiet fade/rise.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Reduced motion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Ship a cross-fade fallback for accessibility and shaky demo networks.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Contrast: body text ≥ 4.5:1, large text ≥ 3:1. Ink #151A2D on light and ice/white on navy both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encode meaning in color alone — pair the red/amber/emerald lanes with icons and labels.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 numerals for scores/hashes aid scanning; keep ≥ 12pt.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text alternatives for the crew/pipeline diagrams; honor prefers-reduced-motion.</w:t>
      </w:r>
    </w:p>
    <w:p>
      <w:r>
        <w:br w:type="page"/>
      </w:r>
    </w:p>
    <w:p>
      <w:pPr>
        <w:pStyle w:val="Heading1"/>
      </w:pPr>
      <w:r>
        <w:t xml:space="preserve">8. Do &amp;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10B98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F44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>Let GL Guardian Blue dominate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Spread red/emerald as decoration</w:t>
            </w:r>
          </w:p>
        </w:tc>
      </w:tr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Reserve red=Challenger, emerald=Defender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Center body text</w:t>
            </w:r>
          </w:p>
        </w:tc>
      </w:tr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Use the soft-circle icon motif everywhere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Mix filled + outline icons</w:t>
            </w:r>
          </w:p>
        </w:tc>
      </w:tr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Sandwich dark→light→dark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Add accent stripes or underlines to titles</w:t>
            </w:r>
          </w:p>
        </w:tc>
      </w:tr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One hero motion per slide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Stack multiple competing animations</w:t>
            </w:r>
          </w:p>
        </w:tc>
      </w:tr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Mono for data, Inter for everything else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Use more than two type sizes per slide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>GL Guardian — Brand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A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563E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B12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51A2D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 Guardian — Brand Style Guide</dc:title>
  <dc:creator>GL Guardian</dc:creator>
  <cp:lastModifiedBy>Un-named</cp:lastModifiedBy>
  <cp:revision>1</cp:revision>
  <dcterms:created xsi:type="dcterms:W3CDTF">2026-07-06T05:06:04.525Z</dcterms:created>
  <dcterms:modified xsi:type="dcterms:W3CDTF">2026-07-06T05:06:04.525Z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