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600"/>
        <w:jc w:val="center"/>
      </w:pPr>
      <w:r>
        <w:rPr>
          <w:b/>
          <w:bCs/>
          <w:color w:val="2563EB"/>
          <w:sz w:val="72"/>
          <w:szCs w:val="72"/>
        </w:rPr>
        <w:t xml:space="preserve">SKEPTIC ENGINE</w:t>
      </w:r>
    </w:p>
    <w:p>
      <w:pPr>
        <w:spacing w:after="40"/>
        <w:jc w:val="center"/>
      </w:pPr>
      <w:r>
        <w:rPr>
          <w:color w:val="151A2D"/>
          <w:sz w:val="30"/>
          <w:szCs w:val="30"/>
        </w:rPr>
        <w:t xml:space="preserve">Cinematic Storyboard &amp; Canva Presentation Bible</w:t>
      </w:r>
    </w:p>
    <w:p>
      <w:pPr>
        <w:spacing w:after="400"/>
        <w:jc w:val="center"/>
      </w:pPr>
      <w:r>
        <w:rPr>
          <w:i/>
          <w:iCs/>
          <w:color w:val="64748B"/>
          <w:sz w:val="22"/>
          <w:szCs w:val="22"/>
        </w:rPr>
        <w:t xml:space="preserve">The enterprise audit platform that puts every transaction on trial</w:t>
      </w:r>
    </w:p>
    <w:p>
      <w:pPr>
        <w:spacing w:after="40"/>
        <w:jc w:val="center"/>
      </w:pPr>
      <w:r>
        <w:rPr>
          <w:color w:val="0B1220"/>
          <w:sz w:val="20"/>
          <w:szCs w:val="20"/>
        </w:rPr>
        <w:t xml:space="preserve">Primary cut: Client / Product Demo  ·  Runtime target: ~10 minutes  ·  14 scenes</w:t>
      </w:r>
    </w:p>
    <w:p>
      <w:pPr>
        <w:jc w:val="center"/>
      </w:pPr>
      <w:r>
        <w:rPr>
          <w:color w:val="64748B"/>
          <w:sz w:val="18"/>
          <w:szCs w:val="18"/>
        </w:rPr>
        <w:t xml:space="preserve">Version 1.0  ·  Prepared for Athitthiyan  ·  July 2026</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20"/>
      </w:pPr>
      <w:r>
        <w:t xml:space="preserve">Skeptic Engine is an enterprise audit-investigation platform powered by a multi-agent AI crew. It automates fraud detection and risk assessment through an adversarial debate framework — a Challenger agent argues the worst-case, a Defender agent argues legitimacy — with mandatory human-in-the-loop review and an immutable, hash-chained audit log. It is built on a FastAPI + LangGraph backend and a Next.js 15 / React 19 front end.</w:t>
      </w:r>
    </w:p>
    <w:p>
      <w:pPr>
        <w:spacing w:after="120"/>
      </w:pPr>
      <w:r>
        <w:t xml:space="preserve">This document is the single source of truth for turning that product into a world-class, cinematic presentation. It is written for a client / product-demo audience first (an enterprise audit or finance buyer), with adaptation notes for Technical, Business, Executive, Investor, and Recruiter cuts.</w:t>
      </w:r>
    </w:p>
    <w:p>
      <w:pPr>
        <w:pStyle w:val="Heading3"/>
      </w:pPr>
      <w:r>
        <w:t xml:space="preserve">The one-line pitch</w:t>
      </w:r>
    </w:p>
    <w:p>
      <w:pPr>
        <w:pBdr>
          <w:left w:val="single" w:color="2563EB" w:sz="18" w:space="12"/>
        </w:pBdr>
        <w:spacing w:after="160" w:before="80"/>
      </w:pPr>
      <w:r>
        <w:rPr>
          <w:i/>
          <w:iCs/>
          <w:color w:val="0B1220"/>
        </w:rPr>
        <w:t xml:space="preserve">“Traditional audit samples ~5% of transactions and hopes. Skeptic Engine investigates 100% — giving every flagged transaction an adversarial trial, a cited evidence file, a human sign-off, and a tamper-evident record.”</w:t>
      </w:r>
    </w:p>
    <w:p>
      <w:pPr>
        <w:pStyle w:val="Heading3"/>
      </w:pPr>
      <w:r>
        <w:t xml:space="preserve">What this package contains</w:t>
      </w:r>
    </w:p>
    <w:p>
      <w:pPr>
        <w:pStyle w:val="ListParagraph"/>
        <w:numPr>
          <w:ilvl w:val="0"/>
          <w:numId w:val="2"/>
        </w:numPr>
        <w:spacing w:after="60"/>
      </w:pPr>
      <w:r>
        <w:t xml:space="preserve">A full 9-act cinematic story arc, condensed into a 14-scene, ~10-minute client demo.</w:t>
      </w:r>
    </w:p>
    <w:p>
      <w:pPr>
        <w:pStyle w:val="ListParagraph"/>
        <w:numPr>
          <w:ilvl w:val="0"/>
          <w:numId w:val="2"/>
        </w:numPr>
        <w:spacing w:after="60"/>
      </w:pPr>
      <w:r>
        <w:t xml:space="preserve">Scene-by-scene storyboard: narration, visual composition, motion, transitions, timing, and emotional goal for every scene.</w:t>
      </w:r>
    </w:p>
    <w:p>
      <w:pPr>
        <w:pStyle w:val="ListParagraph"/>
        <w:numPr>
          <w:ilvl w:val="0"/>
          <w:numId w:val="2"/>
        </w:numPr>
        <w:spacing w:after="60"/>
      </w:pPr>
      <w:r>
        <w:t xml:space="preserve">A Canva build structure, slide wireframes, animation plan, and visual-asset checklist.</w:t>
      </w:r>
    </w:p>
    <w:p>
      <w:pPr>
        <w:pStyle w:val="ListParagraph"/>
        <w:numPr>
          <w:ilvl w:val="0"/>
          <w:numId w:val="2"/>
        </w:numPr>
        <w:spacing w:after="60"/>
      </w:pPr>
      <w:r>
        <w:t xml:space="preserve">A Kiro implementation guide to rebuild the interactive/animated moments as real UI.</w:t>
      </w:r>
    </w:p>
    <w:p>
      <w:pPr>
        <w:pStyle w:val="ListParagraph"/>
        <w:numPr>
          <w:ilvl w:val="0"/>
          <w:numId w:val="2"/>
        </w:numPr>
        <w:spacing w:after="60"/>
      </w:pPr>
      <w:r>
        <w:t xml:space="preserve">A brand system: color, type, iconography, motion — grounded in the product’s actual design tokens.</w:t>
      </w:r>
    </w:p>
    <w:p>
      <w:pPr>
        <w:pStyle w:val="ListParagraph"/>
        <w:numPr>
          <w:ilvl w:val="0"/>
          <w:numId w:val="2"/>
        </w:numPr>
        <w:spacing w:after="60"/>
      </w:pPr>
      <w:r>
        <w:t xml:space="preserve">An AI prompt library for generating every illustration, icon, chart, voice-over, and B-roll asset.</w:t>
      </w:r>
    </w:p>
    <w:p>
      <w:pPr>
        <w:pStyle w:val="ListParagraph"/>
        <w:numPr>
          <w:ilvl w:val="0"/>
          <w:numId w:val="2"/>
        </w:numPr>
        <w:spacing w:after="60"/>
      </w:pPr>
      <w:r>
        <w:t xml:space="preserve">Six audience-specific cuts, a gap analysis, and a production-readiness review.</w:t>
      </w:r>
    </w:p>
    <w:p>
      <w:pPr>
        <w:pStyle w:val="Heading3"/>
      </w:pPr>
      <w:r>
        <w:t xml:space="preserve">Companion files</w:t>
      </w:r>
    </w:p>
    <w:p>
      <w:pPr>
        <w:pStyle w:val="ListParagraph"/>
        <w:numPr>
          <w:ilvl w:val="0"/>
          <w:numId w:val="2"/>
        </w:numPr>
        <w:spacing w:after="60"/>
      </w:pPr>
      <w:r>
        <w:t xml:space="preserve">Skeptic_Engine_Presentation.pptx — the ready-to-present 14-slide deck (narration in speaker notes).</w:t>
      </w:r>
    </w:p>
    <w:p>
      <w:pPr>
        <w:pStyle w:val="ListParagraph"/>
        <w:numPr>
          <w:ilvl w:val="0"/>
          <w:numId w:val="2"/>
        </w:numPr>
        <w:spacing w:after="60"/>
      </w:pPr>
      <w:r>
        <w:t xml:space="preserve">Skeptic_Engine_Narration_Script.docx — the standalone presenter script with timing and delivery cues.</w:t>
      </w:r>
    </w:p>
    <w:p>
      <w:pPr>
        <w:pStyle w:val="ListParagraph"/>
        <w:numPr>
          <w:ilvl w:val="0"/>
          <w:numId w:val="2"/>
        </w:numPr>
        <w:spacing w:after="60"/>
      </w:pPr>
      <w:r>
        <w:t xml:space="preserve">Skeptic_Engine_Brand_Style_Guide.docx — the full brand system as its own reference.</w:t>
      </w:r>
    </w:p>
    <w:p>
      <w:r>
        <w:br w:type="page"/>
      </w:r>
    </w:p>
    <w:p>
      <w:pPr>
        <w:pStyle w:val="Heading1"/>
      </w:pPr>
      <w:r>
        <w:t xml:space="preserve">2. Project Story Narrative</w:t>
      </w:r>
    </w:p>
    <w:p>
      <w:pPr>
        <w:spacing w:after="120"/>
      </w:pPr>
      <w:r>
        <w:t xml:space="preserve">Before the scenes, the story in prose — the spine every slide hangs from. A great demo is not a feature tour; it is a character who has a problem, meets a guide, and is transformed.</w:t>
      </w:r>
    </w:p>
    <w:p>
      <w:pPr>
        <w:pStyle w:val="Heading3"/>
      </w:pPr>
      <w:r>
        <w:t xml:space="preserve">The world before</w:t>
      </w:r>
    </w:p>
    <w:p>
      <w:pPr>
        <w:spacing w:after="120"/>
      </w:pPr>
      <w:r>
        <w:t xml:space="preserve">Meet the internal auditor. Every quarter, millions of general-ledger transactions flow through the business. She cannot look at all of them, so she samples — a few percent, chosen by rules of thumb and gut. The rest go unexamined. When fraud or a control failure is hiding in the 95% she never opened, she finds out when it is already a headline, a restatement, or a regulator’s letter. Her work is slow, manual, defensible only on paper, and quietly terrifying.</w:t>
      </w:r>
    </w:p>
    <w:p>
      <w:pPr>
        <w:pStyle w:val="Heading3"/>
      </w:pPr>
      <w:r>
        <w:t xml:space="preserve">The turn</w:t>
      </w:r>
    </w:p>
    <w:p>
      <w:pPr>
        <w:spacing w:after="120"/>
      </w:pPr>
      <w:r>
        <w:t xml:space="preserve">What if every flagged transaction got a fair trial instead of a coin flip? Not one AI opinion — opinions hallucinate — but a structured argument. A prosecutor to press the risk. A defense to explain the business reality. Evidence that must be cited, not invented. A judge to weigh both. A QA inspector to verify nothing was made up. And, on anything that matters, a human with the final gavel.</w:t>
      </w:r>
    </w:p>
    <w:p>
      <w:pPr>
        <w:pStyle w:val="Heading3"/>
      </w:pPr>
      <w:r>
        <w:t xml:space="preserve">The world after</w:t>
      </w:r>
    </w:p>
    <w:p>
      <w:pPr>
        <w:spacing w:after="120"/>
      </w:pPr>
      <w:r>
        <w:t xml:space="preserve">Now she opens her dashboard to 100% coverage. The low-risk, high-confidence cases have already cleared themselves, each with a citation trail. The genuinely ambiguous ones are queued for her — pre-argued from both sides, so she reviews in minutes, not hours. Every decision, every source, every model call is written to an immutable, hash-chained ledger. When the regulator asks “show your work,” she exports it in one click. She has gone from sampling-and-hoping to investigating-everything.</w:t>
      </w:r>
    </w:p>
    <w:p>
      <w:pPr>
        <w:pBdr>
          <w:left w:val="single" w:color="2563EB" w:sz="18" w:space="12"/>
        </w:pBdr>
        <w:spacing w:after="160" w:before="80"/>
      </w:pPr>
      <w:r>
        <w:rPr>
          <w:i/>
          <w:iCs/>
          <w:color w:val="0B1220"/>
        </w:rPr>
        <w:t xml:space="preserve">Emotional throughline: anxiety → curiosity → relief → confidence. Every scene should move the audience one step along that line.</w:t>
      </w:r>
    </w:p>
    <w:p>
      <w:r>
        <w:br w:type="page"/>
      </w:r>
    </w:p>
    <w:p>
      <w:pPr>
        <w:pStyle w:val="Heading1"/>
      </w:pPr>
      <w:r>
        <w:t xml:space="preserve">3. Complete Scene-by-Scene Storyboard</w:t>
      </w:r>
    </w:p>
    <w:p>
      <w:pPr>
        <w:spacing w:after="120"/>
      </w:pPr>
      <w:r>
        <w:t xml:space="preserve">The 9-act cinematic framework, delivered as 14 scenes for the ~10-minute client cut. Each scene lists its act, on-screen title, narration beat, visual composition, motion, transition, timing, and the feeling it must land. Deeper acts (full technical architecture) are provided as optional expansion scenes at the end of this section for longer or technical cuts.</w:t>
      </w:r>
    </w:p>
    <w:p>
      <w:pPr>
        <w:pStyle w:val="Heading2"/>
      </w:pPr>
      <w:r>
        <w:t xml:space="preserve">Scene 01 — Every transaction is a question no one has time to ask</w:t>
      </w:r>
    </w:p>
    <w:p>
      <w:pPr>
        <w:spacing w:after="120"/>
      </w:pPr>
      <w:r>
        <w:rPr>
          <w:b/>
          <w:bCs/>
          <w:color w:val="2563EB"/>
        </w:rPr>
        <w:t xml:space="preserve">Act 1 — The Problem (Cold Open)</w:t>
      </w:r>
      <w:r>
        <w:rPr>
          <w:color w:val="64748B"/>
        </w:rPr>
        <w:t xml:space="preserve">   ·   0:00–0:40 (40s)</w:t>
      </w:r>
      <w:r>
        <w:rPr>
          <w:i/>
          <w:iCs/>
          <w:color w:val="64748B"/>
        </w:rPr>
        <w:t xml:space="preserve">   ·   Style: Netflix documentary cold open.</w:t>
      </w:r>
    </w:p>
    <w:p>
      <w:pPr>
        <w:pBdr>
          <w:left w:val="single" w:color="2563EB" w:sz="18" w:space="12"/>
        </w:pBdr>
        <w:spacing w:after="80" w:before="40"/>
      </w:pPr>
      <w:r>
        <w:rPr>
          <w:b/>
          <w:bCs/>
          <w:color w:val="0B1220"/>
        </w:rPr>
        <w:t xml:space="preserve">Narration:  </w:t>
      </w:r>
      <w:r>
        <w:rPr>
          <w:i/>
          <w:iCs/>
        </w:rPr>
        <w:t xml:space="preserve">Open in near-silence. “Last year, your business processed millions of transactions. Your audit team looked at maybe five percent of them.” Pause. “This is the story of the other ninety-five.”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Visual composition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Dark navy void. A single glowing transaction row drifts up from the bottom, then hundreds, then thousands stream upward like embers — only a handful light up blue (‘sampled’); the rest stay grey and fade into the dark.</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Background</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Keynote dark (#0B1220) with subtle particle field.</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Icons / illustration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None — pure typography + particle motion.</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Charts / data</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Animated stat: “~5% sampled” fades in bottom-right.</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Animation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Slow upward particle drift (12s loop); title fades in over 1.5s with a gentle blur-to-focus.</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Camera movement</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Slow push-in (scale 100%→104%).</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Transition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Cut to black, then hard cut to Scene 02.</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Sound effects</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Low sub-bass swell; a single soft ‘tick’ as each sampled row lights.</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Music</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Ambient, tense, minimal piano — ‘documentary cold open’.</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Color palette</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Navy + one blue accent.</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Typography</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Inter Display, 44pt title, generous tracking.</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Emotional goal</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Unease. ‘There is a blind spot and it is huge.’</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Call-to-action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None yet — hold the tension.</w:t>
            </w:r>
          </w:p>
        </w:tc>
      </w:tr>
    </w:tbl>
    <w:p>
      <w:r>
        <w:t xml:space="preserve"/>
      </w:r>
    </w:p>
    <w:p>
      <w:pPr>
        <w:pStyle w:val="Heading2"/>
      </w:pPr>
      <w:r>
        <w:t xml:space="preserve">Scene 02 — Sampling is hope wearing a lab coat</w:t>
      </w:r>
    </w:p>
    <w:p>
      <w:pPr>
        <w:spacing w:after="120"/>
      </w:pPr>
      <w:r>
        <w:rPr>
          <w:b/>
          <w:bCs/>
          <w:color w:val="2563EB"/>
        </w:rPr>
        <w:t xml:space="preserve">Act 1 — The Problem</w:t>
      </w:r>
      <w:r>
        <w:rPr>
          <w:color w:val="64748B"/>
        </w:rPr>
        <w:t xml:space="preserve">   ·   0:40–1:20 (40s)</w:t>
      </w:r>
      <w:r>
        <w:rPr>
          <w:i/>
          <w:iCs/>
          <w:color w:val="64748B"/>
        </w:rPr>
        <w:t xml:space="preserve">   ·   Style: Apple keynote problem framing.</w:t>
      </w:r>
    </w:p>
    <w:p>
      <w:pPr>
        <w:pBdr>
          <w:left w:val="single" w:color="2563EB" w:sz="18" w:space="12"/>
        </w:pBdr>
        <w:spacing w:after="80" w:before="40"/>
      </w:pPr>
      <w:r>
        <w:rPr>
          <w:b/>
          <w:bCs/>
          <w:color w:val="0B1220"/>
        </w:rPr>
        <w:t xml:space="preserve">Narration:  </w:t>
      </w:r>
      <w:r>
        <w:rPr>
          <w:i/>
          <w:iCs/>
        </w:rPr>
        <w:t xml:space="preserve">“Manual review is slow. Rules-based flags cry wolf. And when something real slips through, you don’t find out in the audit — you find out in the headline.”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Visual composition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Three stacked ‘pain’ cards slide in from the left: Manual &amp; Slow (clock), False Positives (alarm), Missed Fraud (iceberg — small tip above water, huge mass below).</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Background</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Dark surface with frosted-glass cards.</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Icons / illustration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Clock, alarm bell, iceberg — each in a colored circle (amber, blue, red).</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Charts / data</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None; iceberg is the metaphor-chart.</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Animation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Cards stagger in (120ms apart); iceberg’s underwater mass fades up last for the gut-punch.</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Camera movement</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Locked; slight parallax on cards.</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Transition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Cards slide left off-screen to reveal cost stats (Scene 03).</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Sound effects</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Soft whoosh per card; muffled ‘sonar ping’ on the iceberg.</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Music</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Tension builds, add low strings.</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Color palette</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Navy + amber/red risk accents.</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Typography</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Card headers 24pt bold, body 15pt muted.</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Emotional goal</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Recognition. ‘Yes, that is exactly our problem.’</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Call-to-action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None.</w:t>
            </w:r>
          </w:p>
        </w:tc>
      </w:tr>
    </w:tbl>
    <w:p>
      <w:r>
        <w:t xml:space="preserve"/>
      </w:r>
    </w:p>
    <w:p>
      <w:pPr>
        <w:pStyle w:val="Heading2"/>
      </w:pPr>
      <w:r>
        <w:t xml:space="preserve">Scene 03 — What the blind spot costs</w:t>
      </w:r>
    </w:p>
    <w:p>
      <w:pPr>
        <w:spacing w:after="120"/>
      </w:pPr>
      <w:r>
        <w:rPr>
          <w:b/>
          <w:bCs/>
          <w:color w:val="2563EB"/>
        </w:rPr>
        <w:t xml:space="preserve">Act 1 — The Problem (Stakes)</w:t>
      </w:r>
      <w:r>
        <w:rPr>
          <w:color w:val="64748B"/>
        </w:rPr>
        <w:t xml:space="preserve">   ·   1:20–2:00 (40s)</w:t>
      </w:r>
      <w:r>
        <w:rPr>
          <w:i/>
          <w:iCs/>
          <w:color w:val="64748B"/>
        </w:rPr>
        <w:t xml:space="preserve">   ·   Style: TED ‘the stakes’ beat.</w:t>
      </w:r>
    </w:p>
    <w:p>
      <w:pPr>
        <w:pBdr>
          <w:left w:val="single" w:color="2563EB" w:sz="18" w:space="12"/>
        </w:pBdr>
        <w:spacing w:after="80" w:before="40"/>
      </w:pPr>
      <w:r>
        <w:rPr>
          <w:b/>
          <w:bCs/>
          <w:color w:val="0B1220"/>
        </w:rPr>
        <w:t xml:space="preserve">Narration:  </w:t>
      </w:r>
      <w:r>
        <w:rPr>
          <w:i/>
          <w:iCs/>
        </w:rPr>
        <w:t xml:space="preserve">“The cost isn’t just fraud. It’s auditor hours, restatements, failed controls, and a compliance file you can’t fully defend when someone asks you to show your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Visual composition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Three oversized stat callouts count up: hours spent per case, % of ledger left unexamined, and ‘$ exposure’. A faint regulator’s letter watermark sits behind them.</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Background</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Dark; stats in large ice-blue numerals.</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Icons / illustration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Small labels under each big number.</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Charts / data</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Odometer-style count-up animation on all three figures.</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Animation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Numbers roll up over 1.2s with ease-out; letter watermark drifts up 3%.</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Camera movement</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Static, centered.</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Transition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Screen-wipe to light (dawn metaphor) into Act 2.</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Sound effects</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Rising digital counter tick; resolve to silence at the top number.</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Music</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Peak tension, then a held breath.</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Color palette</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Navy + ice + one red exposure figure.</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Typography</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Stat numerals 72pt, labels 14pt caps.</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Emotional goal</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Weight. ‘This is worth real money and real risk.’</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Call-to-action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Implicit: ‘there has to be a better way.’</w:t>
            </w:r>
          </w:p>
        </w:tc>
      </w:tr>
    </w:tbl>
    <w:p>
      <w:r>
        <w:t xml:space="preserve"/>
      </w:r>
    </w:p>
    <w:p>
      <w:pPr>
        <w:pStyle w:val="Heading2"/>
      </w:pPr>
      <w:r>
        <w:t xml:space="preserve">Scene 04 — What if every transaction got a fair trial?</w:t>
      </w:r>
    </w:p>
    <w:p>
      <w:pPr>
        <w:spacing w:after="120"/>
      </w:pPr>
      <w:r>
        <w:rPr>
          <w:b/>
          <w:bCs/>
          <w:color w:val="2563EB"/>
        </w:rPr>
        <w:t xml:space="preserve">Act 2 — The Vision</w:t>
      </w:r>
      <w:r>
        <w:rPr>
          <w:color w:val="64748B"/>
        </w:rPr>
        <w:t xml:space="preserve">   ·   2:00–2:40 (40s)</w:t>
      </w:r>
      <w:r>
        <w:rPr>
          <w:i/>
          <w:iCs/>
          <w:color w:val="64748B"/>
        </w:rPr>
        <w:t xml:space="preserve">   ·   Style: Apple product reveal.</w:t>
      </w:r>
    </w:p>
    <w:p>
      <w:pPr>
        <w:pBdr>
          <w:left w:val="single" w:color="2563EB" w:sz="18" w:space="12"/>
        </w:pBdr>
        <w:spacing w:after="80" w:before="40"/>
      </w:pPr>
      <w:r>
        <w:rPr>
          <w:b/>
          <w:bCs/>
          <w:color w:val="0B1220"/>
        </w:rPr>
        <w:t xml:space="preserve">Narration:  </w:t>
      </w:r>
      <w:r>
        <w:rPr>
          <w:i/>
          <w:iCs/>
        </w:rPr>
        <w:t xml:space="preserve">Music lifts. “So we built one. Skeptic Engine doesn’t sample. It investigates — every flagged transaction, argued from both sides, verified, and signed off.” The logo resolves.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Visual composition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Light breaks across the dark scene (day-break wipe). The Skeptic Engine wordmark assembles from the same particles that were the ‘lost’ transactions in Scene 01 — the blind spot becomes the product.</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Background</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Transition dark→light; settle on brand white/near-white.</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Icons / illustration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Logo mark only.</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Charts / data</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None.</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Animation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Particles converge into the wordmark (1.5s), then a soft bloom.</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Camera movement</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Pull back to reveal the full mark.</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Transition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Elegant fade into the crew reveal.</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Sound effects</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Warm ‘power-on’ chord; particle chime.</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Music</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Hopeful theme enters — the ‘hero’ motif.</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Color palette</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Brand blue on light; the pivot to optimism.</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Typography</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Wordmark + tagline 20pt.</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Emotional goal</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Relief + anticipation. ‘Show me.’</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Call-to-action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“Meet the crew.”</w:t>
            </w:r>
          </w:p>
        </w:tc>
      </w:tr>
    </w:tbl>
    <w:p>
      <w:r>
        <w:t xml:space="preserve"/>
      </w:r>
    </w:p>
    <w:p>
      <w:pPr>
        <w:pStyle w:val="Heading2"/>
      </w:pPr>
      <w:r>
        <w:t xml:space="preserve">Scene 05 — Meet the crew — six specialists, one investigation</w:t>
      </w:r>
    </w:p>
    <w:p>
      <w:pPr>
        <w:spacing w:after="120"/>
      </w:pPr>
      <w:r>
        <w:rPr>
          <w:b/>
          <w:bCs/>
          <w:color w:val="2563EB"/>
        </w:rPr>
        <w:t xml:space="preserve">Act 3 — Product Walkthrough</w:t>
      </w:r>
      <w:r>
        <w:rPr>
          <w:color w:val="64748B"/>
        </w:rPr>
        <w:t xml:space="preserve">   ·   2:40–3:30 (50s)</w:t>
      </w:r>
      <w:r>
        <w:rPr>
          <w:i/>
          <w:iCs/>
          <w:color w:val="64748B"/>
        </w:rPr>
        <w:t xml:space="preserve">   ·   Style: Google I/O system reveal.</w:t>
      </w:r>
    </w:p>
    <w:p>
      <w:pPr>
        <w:pBdr>
          <w:left w:val="single" w:color="2563EB" w:sz="18" w:space="12"/>
        </w:pBdr>
        <w:spacing w:after="80" w:before="40"/>
      </w:pPr>
      <w:r>
        <w:rPr>
          <w:b/>
          <w:bCs/>
          <w:color w:val="0B1220"/>
        </w:rPr>
        <w:t xml:space="preserve">Narration:  </w:t>
      </w:r>
      <w:r>
        <w:rPr>
          <w:i/>
          <w:iCs/>
        </w:rPr>
        <w:t xml:space="preserve">“It’s not one AI with one opinion. It’s a crew. A Supervisor runs the case. An Evidence agent gathers cited facts. A Challenger and a Defender argue. An Adjudicator rules. A Verifier checks the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Visual composition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Six agent ‘cards’ arrange around a central case node in a hex/orbit layout. Each lights up as it’s named, with a one-line job description.</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Background</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Light; frosted cards with soft shadow, rounded 12px.</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Icons / illustration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Supervisor (conductor), Evidence (magnifier+doc), Challenger (red shield/sword), Defender (green shield), Adjudicator (gavel), Verifier (checkmark badge).</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Charts / data</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None; the crew diagram is the hero visual.</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Animation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Sequential reveal synced to narration; connecting lines draw between each agent and the central case.</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Camera movement</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Slow orbit around the crew (subtle).</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Transition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Zoom into the Challenger/Defender pair for Scene 06.</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Sound effects</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Distinct soft tone per agent as it lights.</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Music</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Theme continues, add rhythmic pulse.</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Color palette</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Blue base; red + emerald reserved for the two debaters.</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Typography</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Agent name 20pt bold, role 13pt muted.</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Emotional goal</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Intrigue. ‘This is a team, not a black box.’</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Call-to-action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“Watch them debate.”</w:t>
            </w:r>
          </w:p>
        </w:tc>
      </w:tr>
    </w:tbl>
    <w:p>
      <w:r>
        <w:t xml:space="preserve"/>
      </w:r>
    </w:p>
    <w:p>
      <w:pPr>
        <w:pStyle w:val="Heading2"/>
      </w:pPr>
      <w:r>
        <w:t xml:space="preserve">Scene 06 — The debate: Challenger vs. Defender</w:t>
      </w:r>
    </w:p>
    <w:p>
      <w:pPr>
        <w:spacing w:after="120"/>
      </w:pPr>
      <w:r>
        <w:rPr>
          <w:b/>
          <w:bCs/>
          <w:color w:val="2563EB"/>
        </w:rPr>
        <w:t xml:space="preserve">Act 4 — AI Journey (Signature Moment)</w:t>
      </w:r>
      <w:r>
        <w:rPr>
          <w:color w:val="64748B"/>
        </w:rPr>
        <w:t xml:space="preserve">   ·   3:30–4:30 (60s)</w:t>
      </w:r>
      <w:r>
        <w:rPr>
          <w:i/>
          <w:iCs/>
          <w:color w:val="64748B"/>
        </w:rPr>
        <w:t xml:space="preserve">   ·   Style: OpenAI Dev Day ‘wow’ demo.</w:t>
      </w:r>
    </w:p>
    <w:p>
      <w:pPr>
        <w:pBdr>
          <w:left w:val="single" w:color="2563EB" w:sz="18" w:space="12"/>
        </w:pBdr>
        <w:spacing w:after="80" w:before="40"/>
      </w:pPr>
      <w:r>
        <w:rPr>
          <w:b/>
          <w:bCs/>
          <w:color w:val="0B1220"/>
        </w:rPr>
        <w:t xml:space="preserve">Narration:  </w:t>
      </w:r>
      <w:r>
        <w:rPr>
          <w:i/>
          <w:iCs/>
        </w:rPr>
        <w:t xml:space="preserve">“Here’s what makes it different. The Challenger builds the case for fraud. The Defender builds the case for a legitimate explanation. They go up to two rounds — and neither gets the last word. The Adjudicator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Visual composition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Split screen: red Challenger left, emerald Defender right, arguments typing in as opposing speech bubbles. Between them a confidence meter tilts with each point. Adjudicator gavel drops center at the end, meter settles.</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Background</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Light, with a faint courtroom-aisle center line.</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Icons / illustration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Red/green agent avatars; gavel; confidence dial.</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Charts / data</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Live confidence meter (0–1) animating as points land.</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Animation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Typed-in arguments (staggered), meter needle physics, gavel impact ripple.</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Camera movement</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Cut between sides like a tennis rally, then center on the gavel.</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Transition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Dissolve to the evidence file (Scene 07).</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Sound effects</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Subtle keystroke ticks; a decisive gavel knock.</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Music</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Rhythmic, building; a single hit on the gavel then release.</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Color palette</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Red vs emerald on light — the core brand tension.</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Typography</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Argument text 15pt; verdict 24pt bold.</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Emotional goal</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Delight. ‘I’ve never seen AI do this.’ The memorable beat.</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Call-to-action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“But is any of it true?”</w:t>
            </w:r>
          </w:p>
        </w:tc>
      </w:tr>
    </w:tbl>
    <w:p>
      <w:r>
        <w:t xml:space="preserve"/>
      </w:r>
    </w:p>
    <w:p>
      <w:pPr>
        <w:pStyle w:val="Heading2"/>
      </w:pPr>
      <w:r>
        <w:t xml:space="preserve">Scene 07 — Every claim, cited — grounded in your policies and live data</w:t>
      </w:r>
    </w:p>
    <w:p>
      <w:pPr>
        <w:spacing w:after="120"/>
      </w:pPr>
      <w:r>
        <w:rPr>
          <w:b/>
          <w:bCs/>
          <w:color w:val="2563EB"/>
        </w:rPr>
        <w:t xml:space="preserve">Act 4 — AI Journey (Grounding)</w:t>
      </w:r>
      <w:r>
        <w:rPr>
          <w:color w:val="64748B"/>
        </w:rPr>
        <w:t xml:space="preserve">   ·   4:30–5:15 (45s)</w:t>
      </w:r>
      <w:r>
        <w:rPr>
          <w:i/>
          <w:iCs/>
          <w:color w:val="64748B"/>
        </w:rPr>
        <w:t xml:space="preserve">   ·   Style: Stripe Sessions ‘credible detail’.</w:t>
      </w:r>
    </w:p>
    <w:p>
      <w:pPr>
        <w:pBdr>
          <w:left w:val="single" w:color="2563EB" w:sz="18" w:space="12"/>
        </w:pBdr>
        <w:spacing w:after="80" w:before="40"/>
      </w:pPr>
      <w:r>
        <w:rPr>
          <w:b/>
          <w:bCs/>
          <w:color w:val="0B1220"/>
        </w:rPr>
        <w:t xml:space="preserve">Narration:  </w:t>
      </w:r>
      <w:r>
        <w:rPr>
          <w:i/>
          <w:iCs/>
        </w:rPr>
        <w:t xml:space="preserve">“Nothing here is a vibe. The Evidence agent retrieves from your policy knowledge base and live sources — FX rates, vendor registries — and the Verifier rejects any claim that isn’t grounded in a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Visual composition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An evidence file opens: claims on the left, each linked by an animated thread to a source chip on the right (Policy KB, FX API, Vendor Registry). One unsupported claim flashes red and is struck through by the Verifier.</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Background</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Light; document-style surface.</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Icons / illustration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Document, vector/RAG nodes, API plug, red strike-through badge.</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Charts / data</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None; the citation threads are the visual.</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Animation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Threads draw from claim→source; the rejected claim shakes and greys out.</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Camera movement</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Gentle pan down the evidence list.</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Transition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Pull up to the routing gate (Scene 08).</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Sound effects</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Soft ‘link’ chime per citation; a low ‘reject’ buzz.</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Music</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Calm, credible, steady.</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Color palette</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Blue + emerald verified, red for the rejected claim.</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Typography</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Claim 14pt, source chips 12pt mono.</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Emotional goal</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Trust. ‘This won’t hallucinate me into a lawsuit.’</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Call-to-action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“Who decides?”</w:t>
            </w:r>
          </w:p>
        </w:tc>
      </w:tr>
    </w:tbl>
    <w:p>
      <w:r>
        <w:t xml:space="preserve"/>
      </w:r>
    </w:p>
    <w:p>
      <w:pPr>
        <w:pStyle w:val="Heading2"/>
      </w:pPr>
      <w:r>
        <w:t xml:space="preserve">Scene 08 — The confidence gate — machines clear the easy, humans judge the hard</w:t>
      </w:r>
    </w:p>
    <w:p>
      <w:pPr>
        <w:spacing w:after="120"/>
      </w:pPr>
      <w:r>
        <w:rPr>
          <w:b/>
          <w:bCs/>
          <w:color w:val="2563EB"/>
        </w:rPr>
        <w:t xml:space="preserve">Act 4 — AI Journey (Human-in-the-loop)</w:t>
      </w:r>
      <w:r>
        <w:rPr>
          <w:color w:val="64748B"/>
        </w:rPr>
        <w:t xml:space="preserve">   ·   5:15–6:00 (45s)</w:t>
      </w:r>
      <w:r>
        <w:rPr>
          <w:i/>
          <w:iCs/>
          <w:color w:val="64748B"/>
        </w:rPr>
        <w:t xml:space="preserve">   ·   Style: AWS re:Invent flow explainer.</w:t>
      </w:r>
    </w:p>
    <w:p>
      <w:pPr>
        <w:pBdr>
          <w:left w:val="single" w:color="2563EB" w:sz="18" w:space="12"/>
        </w:pBdr>
        <w:spacing w:after="80" w:before="40"/>
      </w:pPr>
      <w:r>
        <w:rPr>
          <w:b/>
          <w:bCs/>
          <w:color w:val="0B1220"/>
        </w:rPr>
        <w:t xml:space="preserve">Narration:  </w:t>
      </w:r>
      <w:r>
        <w:rPr>
          <w:i/>
          <w:iCs/>
        </w:rPr>
        <w:t xml:space="preserve">“The system knows what it doesn’t know. Above ninety percent confidence and low risk, it auto-clears — with a full trail. In the grey zone, it routes to a human. Below seventy, it escalates. You spend your judgment where judgment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Visual composition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A single case flows into a three-way junction. Three lanes light by threshold: ≥90% → Auto-clear (emerald), 70–90% → Human review (amber), &lt;70% → Escalate (red). A reviewer avatar picks up the amber lane.</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Background</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Light; flow-diagram surface.</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Icons / illustration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Gate/junction, checkmark, human reviewer, escalation arrow.</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Charts / data</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Threshold band bar (0–1) with the three zones colored.</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Animation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Case token travels the pipe and switches lanes based on a shown confidence value.</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Camera movement</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Top-down on the junction, slight tilt.</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Transition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Follow the amber lane into the audit ledger (Scene 09).</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Sound effects</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Pneumatic ‘routing’ click at the junction.</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Music</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Assured, forward motion.</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Color palette</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Emerald / amber / red zones on light.</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Typography</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Lane labels 16pt bold, thresholds 13pt mono.</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Emotional goal</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Control. ‘We’re still in charge of what matters.’</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Call-to-action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“And it all gets recorded.”</w:t>
            </w:r>
          </w:p>
        </w:tc>
      </w:tr>
    </w:tbl>
    <w:p>
      <w:r>
        <w:t xml:space="preserve"/>
      </w:r>
    </w:p>
    <w:p>
      <w:pPr>
        <w:pStyle w:val="Heading2"/>
      </w:pPr>
      <w:r>
        <w:t xml:space="preserve">Scene 09 — An audit trail you can’t argue with</w:t>
      </w:r>
    </w:p>
    <w:p>
      <w:pPr>
        <w:spacing w:after="120"/>
      </w:pPr>
      <w:r>
        <w:rPr>
          <w:b/>
          <w:bCs/>
          <w:color w:val="2563EB"/>
        </w:rPr>
        <w:t xml:space="preserve">Act 4 — AI Journey (Compliance)</w:t>
      </w:r>
      <w:r>
        <w:rPr>
          <w:color w:val="64748B"/>
        </w:rPr>
        <w:t xml:space="preserve">   ·   6:00–6:40 (40s)</w:t>
      </w:r>
      <w:r>
        <w:rPr>
          <w:i/>
          <w:iCs/>
          <w:color w:val="64748B"/>
        </w:rPr>
        <w:t xml:space="preserve">   ·   Style: Enterprise ‘trust’ beat.</w:t>
      </w:r>
    </w:p>
    <w:p>
      <w:pPr>
        <w:pBdr>
          <w:left w:val="single" w:color="2563EB" w:sz="18" w:space="12"/>
        </w:pBdr>
        <w:spacing w:after="80" w:before="40"/>
      </w:pPr>
      <w:r>
        <w:rPr>
          <w:b/>
          <w:bCs/>
          <w:color w:val="0B1220"/>
        </w:rPr>
        <w:t xml:space="preserve">Narration:  </w:t>
      </w:r>
      <w:r>
        <w:rPr>
          <w:i/>
          <w:iCs/>
        </w:rPr>
        <w:t xml:space="preserve">“Every decision, every source, every model call is written to an immutable, hash-chained log. Change one record and the chain breaks. When a regulator says ‘show your work’ — you export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Visual composition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A vertical chain of record blocks builds downward, each stamped with a hash that references the one above. A tamper attempt turns a block red and visibly snaps the chain.</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Background</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Dark surface returns (gravitas).</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Icons / illustration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Chain link, hash/fingerprint, lock, export.</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Charts / data</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None; the chain is the visual.</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Animation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Blocks drop and lock into the chain; tamper demo cracks it, then it self-heals to show integrity.</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Camera movement</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Slow vertical scroll down the chain.</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Transition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Cut to the live product UI (Scene 10).</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Sound effects</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Metallic ‘lock’ per block; a sharp ‘crack’ on tamper.</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Music</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Solemn, trustworthy, low.</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Color palette</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Navy + blue hashes + one red tamper flash.</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Typography</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Block labels 13pt mono.</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Emotional goal</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Reassurance. ‘This is defensible.’</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Call-to-action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“Let’s see the real thing.”</w:t>
            </w:r>
          </w:p>
        </w:tc>
      </w:tr>
    </w:tbl>
    <w:p>
      <w:r>
        <w:t xml:space="preserve"/>
      </w:r>
    </w:p>
    <w:p>
      <w:pPr>
        <w:pStyle w:val="Heading2"/>
      </w:pPr>
      <w:r>
        <w:t xml:space="preserve">Scene 10 — The product, end to end</w:t>
      </w:r>
    </w:p>
    <w:p>
      <w:pPr>
        <w:spacing w:after="120"/>
      </w:pPr>
      <w:r>
        <w:rPr>
          <w:b/>
          <w:bCs/>
          <w:color w:val="2563EB"/>
        </w:rPr>
        <w:t xml:space="preserve">Act 6 — User Journey (Live Product)</w:t>
      </w:r>
      <w:r>
        <w:rPr>
          <w:color w:val="64748B"/>
        </w:rPr>
        <w:t xml:space="preserve">   ·   6:40–7:40 (60s)</w:t>
      </w:r>
      <w:r>
        <w:rPr>
          <w:i/>
          <w:iCs/>
          <w:color w:val="64748B"/>
        </w:rPr>
        <w:t xml:space="preserve">   ·   Style: Product-demo walkthrough.</w:t>
      </w:r>
    </w:p>
    <w:p>
      <w:pPr>
        <w:pBdr>
          <w:left w:val="single" w:color="2563EB" w:sz="18" w:space="12"/>
        </w:pBdr>
        <w:spacing w:after="80" w:before="40"/>
      </w:pPr>
      <w:r>
        <w:rPr>
          <w:b/>
          <w:bCs/>
          <w:color w:val="0B1220"/>
        </w:rPr>
        <w:t xml:space="preserve">Narration:  </w:t>
      </w:r>
      <w:r>
        <w:rPr>
          <w:i/>
          <w:iCs/>
        </w:rPr>
        <w:t xml:space="preserve">“This is the actual product. Upload a ledger. Watch cases populate. Open one and you get the whole story — pipeline status, evidence, the debate transcript, the verification checklist, and your review actions. Approve, and the report generates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Visual composition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Screen-recording montage in a device frame: Intake (CSV upload) → Dashboard (risk distribution, agent health) → Case Workspace (pipeline + debate viewer) → Review Queue → Report. Cursor moves deliberately.</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Background</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Light; clean device mockup on soft gradient.</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Icons / illustration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Route chips label each screen as it appears.</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Charts / data</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Real dashboard charts (Recharts) shown in the recording.</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Animation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Smooth cross-dissolves between screens; a subtle highlight ring on the element being described.</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Camera movement</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Ken-Burns push on each screen.</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Transition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Pull back from the device into the ‘behind the scenes’ schematic.</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Sound effects</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Soft UI clicks matched to the cursor.</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Music</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Light, confident, product-demo groove.</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Color palette</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True product UI palette.</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Typography</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Product’s Inter UI type.</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Emotional goal</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Belief. ‘This is real and it’s usable.’</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Call-to-action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“What just happened under the hood?”</w:t>
            </w:r>
          </w:p>
        </w:tc>
      </w:tr>
    </w:tbl>
    <w:p>
      <w:r>
        <w:t xml:space="preserve"/>
      </w:r>
    </w:p>
    <w:p>
      <w:pPr>
        <w:pStyle w:val="Heading2"/>
      </w:pPr>
      <w:r>
        <w:t xml:space="preserve">Scene 11 — One click, a whole pipeline</w:t>
      </w:r>
    </w:p>
    <w:p>
      <w:pPr>
        <w:spacing w:after="120"/>
      </w:pPr>
      <w:r>
        <w:rPr>
          <w:b/>
          <w:bCs/>
          <w:color w:val="2563EB"/>
        </w:rPr>
        <w:t xml:space="preserve">Act 7 — Behind the Scenes</w:t>
      </w:r>
      <w:r>
        <w:rPr>
          <w:color w:val="64748B"/>
        </w:rPr>
        <w:t xml:space="preserve">   ·   7:40–8:20 (40s)</w:t>
      </w:r>
      <w:r>
        <w:rPr>
          <w:i/>
          <w:iCs/>
          <w:color w:val="64748B"/>
        </w:rPr>
        <w:t xml:space="preserve">   ·   Style: Microsoft Build architecture reveal.</w:t>
      </w:r>
    </w:p>
    <w:p>
      <w:pPr>
        <w:pBdr>
          <w:left w:val="single" w:color="2563EB" w:sz="18" w:space="12"/>
        </w:pBdr>
        <w:spacing w:after="80" w:before="40"/>
      </w:pPr>
      <w:r>
        <w:rPr>
          <w:b/>
          <w:bCs/>
          <w:color w:val="0B1220"/>
        </w:rPr>
        <w:t xml:space="preserve">Narration:  </w:t>
      </w:r>
      <w:r>
        <w:rPr>
          <w:i/>
          <w:iCs/>
        </w:rPr>
        <w:t xml:space="preserve">“Behind that one approval: the case moved through intake, evidence collection, the debate, verification, the confidence gate, and report generation — orchestrated by LangGraph, async workers on Redis and Celery, with Postgres and pgvector underneath, and Prometheus watching cost and latency the whole 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Visual composition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The pipeline animates as a horizontal conveyor: Intake → Evidence (RAG) → Debate → Verify → Gate → Report → Audit. Supporting infra icons pulse below as each stage fires.</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Background</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Dark schematic surface.</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Icons / illustration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LangGraph, Postgres/pgvector, Redis, Celery, Prometheus, LLM gateway.</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Charts / data</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Tiny cost/latency spark-meter ticking during the run.</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Animation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A token rides the conveyor; infra icons light in time with the stages.</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Camera movement</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Left-to-right tracking with the token.</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Transition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Rise into the impact stats (Scene 12).</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Sound effects</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Mechanical conveyor hum; per-stage ‘process’ blips.</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Music</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Technical, rhythmic, satisfying.</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Color palette</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Navy + blue data flow + emerald complete.</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Typography</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Stage labels 14pt, infra 11pt mono.</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Emotional goal</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Respect. ‘This is seriously engineered.’</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Call-to-action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“So what does it change?”</w:t>
            </w:r>
          </w:p>
        </w:tc>
      </w:tr>
    </w:tbl>
    <w:p>
      <w:r>
        <w:t xml:space="preserve"/>
      </w:r>
    </w:p>
    <w:p>
      <w:pPr>
        <w:pStyle w:val="Heading2"/>
      </w:pPr>
      <w:r>
        <w:t xml:space="preserve">Scene 12 — From 5% sampled to 100% investigated</w:t>
      </w:r>
    </w:p>
    <w:p>
      <w:pPr>
        <w:spacing w:after="120"/>
      </w:pPr>
      <w:r>
        <w:rPr>
          <w:b/>
          <w:bCs/>
          <w:color w:val="2563EB"/>
        </w:rPr>
        <w:t xml:space="preserve">Act 8 — Business Impact</w:t>
      </w:r>
      <w:r>
        <w:rPr>
          <w:color w:val="64748B"/>
        </w:rPr>
        <w:t xml:space="preserve">   ·   8:20–9:00 (40s)</w:t>
      </w:r>
      <w:r>
        <w:rPr>
          <w:i/>
          <w:iCs/>
          <w:color w:val="64748B"/>
        </w:rPr>
        <w:t xml:space="preserve">   ·   Style: Investor ‘impact slide’.</w:t>
      </w:r>
    </w:p>
    <w:p>
      <w:pPr>
        <w:pBdr>
          <w:left w:val="single" w:color="2563EB" w:sz="18" w:space="12"/>
        </w:pBdr>
        <w:spacing w:after="80" w:before="40"/>
      </w:pPr>
      <w:r>
        <w:rPr>
          <w:b/>
          <w:bCs/>
          <w:color w:val="0B1220"/>
        </w:rPr>
        <w:t xml:space="preserve">Narration:  </w:t>
      </w:r>
      <w:r>
        <w:rPr>
          <w:i/>
          <w:iCs/>
        </w:rPr>
        <w:t xml:space="preserve">“The headline: full coverage instead of a sample. Hours of review collapsed into minutes on the cases that matter. Every decision audit-ready by default. Consistent, cited, and defensible — at machine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Visual composition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A before/after split: LEFT ‘Before’ (5% coverage donut, stacked review hours, ‘hope’). RIGHT ‘After’ (100% coverage donut, minutes, ‘evidence’). Four impact stat cards animate in below.</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Background</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Light; clean comparison layout.</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Icons / illustration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Coverage donut, clock, shield-check, scale.</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Charts / data</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Two donut charts (5% vs 100%) + four count-up stat cards.</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Animation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Donuts fill; stat cards count up; a connecting arrow ‘Before→After’.</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Camera movement</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Static, balanced.</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Transition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Wipe forward (time) into the roadmap.</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Sound effects</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Positive ‘resolve’ chime as ‘After’ completes.</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Music</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Triumphant lift of the hero theme.</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Color palette</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Muted ‘before’ vs vivid blue/emerald ‘after’.</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Typography</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Stat numerals 60pt, labels 13pt caps.</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Emotional goal</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Conviction. ‘The value is obvious.’</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Call-to-action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“And we’re just getting started.”</w:t>
            </w:r>
          </w:p>
        </w:tc>
      </w:tr>
    </w:tbl>
    <w:p>
      <w:r>
        <w:t xml:space="preserve"/>
      </w:r>
    </w:p>
    <w:p>
      <w:pPr>
        <w:pStyle w:val="Heading2"/>
      </w:pPr>
      <w:r>
        <w:t xml:space="preserve">Scene 13 — The roadmap: from investigator to copilot</w:t>
      </w:r>
    </w:p>
    <w:p>
      <w:pPr>
        <w:spacing w:after="120"/>
      </w:pPr>
      <w:r>
        <w:rPr>
          <w:b/>
          <w:bCs/>
          <w:color w:val="2563EB"/>
        </w:rPr>
        <w:t xml:space="preserve">Act 9 — Future Vision</w:t>
      </w:r>
      <w:r>
        <w:rPr>
          <w:color w:val="64748B"/>
        </w:rPr>
        <w:t xml:space="preserve">   ·   9:00–9:35 (35s)</w:t>
      </w:r>
      <w:r>
        <w:rPr>
          <w:i/>
          <w:iCs/>
          <w:color w:val="64748B"/>
        </w:rPr>
        <w:t xml:space="preserve">   ·   Style: Keynote ‘what’s next’.</w:t>
      </w:r>
    </w:p>
    <w:p>
      <w:pPr>
        <w:pBdr>
          <w:left w:val="single" w:color="2563EB" w:sz="18" w:space="12"/>
        </w:pBdr>
        <w:spacing w:after="80" w:before="40"/>
      </w:pPr>
      <w:r>
        <w:rPr>
          <w:b/>
          <w:bCs/>
          <w:color w:val="0B1220"/>
        </w:rPr>
        <w:t xml:space="preserve">Narration:  </w:t>
      </w:r>
      <w:r>
        <w:rPr>
          <w:i/>
          <w:iCs/>
        </w:rPr>
        <w:t xml:space="preserve">“Next: an audit copilot you can talk to. Real-time monitoring instead of periodic runs. More models, more integrations — your ERP, your GRC stack — and a marketplace of investigation playbooks.”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Visual composition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A horizon timeline with milestone nodes lighting up into the distance: Copilot → Real-time Monitoring → Multi-model → Enterprise Integrations → Playbook Marketplace.</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Background</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Gradient dawn (light→blue horizon).</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Icons / illustration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Chat copilot, live pulse, model chips, plug/integration, marketplace grid.</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Charts / data</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None; timeline is the visual.</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Animation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Milestones illuminate sequentially toward a vanishing point.</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Camera movement</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Slow forward dolly toward the horizon.</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Transition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Rise into the closing logo.</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Sound effects</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Airy, forward ‘future’ shimmer per node.</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Music</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Expansive, optimistic swell.</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Color palette</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Blue-to-light horizon gradient.</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Typography</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Milestone labels 16pt.</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Emotional goal</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Momentum. ‘This is going somewhere big.’</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Call-to-action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“Come see it investigate your ledger.”</w:t>
            </w:r>
          </w:p>
        </w:tc>
      </w:tr>
    </w:tbl>
    <w:p>
      <w:r>
        <w:t xml:space="preserve"/>
      </w:r>
    </w:p>
    <w:p>
      <w:pPr>
        <w:pStyle w:val="Heading2"/>
      </w:pPr>
      <w:r>
        <w:t xml:space="preserve">Scene 14 — Put your ledger on trial</w:t>
      </w:r>
    </w:p>
    <w:p>
      <w:pPr>
        <w:spacing w:after="120"/>
      </w:pPr>
      <w:r>
        <w:rPr>
          <w:b/>
          <w:bCs/>
          <w:color w:val="2563EB"/>
        </w:rPr>
        <w:t xml:space="preserve">Close — Call to Action</w:t>
      </w:r>
      <w:r>
        <w:rPr>
          <w:color w:val="64748B"/>
        </w:rPr>
        <w:t xml:space="preserve">   ·   9:35–10:00 (25s)</w:t>
      </w:r>
      <w:r>
        <w:rPr>
          <w:i/>
          <w:iCs/>
          <w:color w:val="64748B"/>
        </w:rPr>
        <w:t xml:space="preserve">   ·   Style: Apple keynote close.</w:t>
      </w:r>
    </w:p>
    <w:p>
      <w:pPr>
        <w:pBdr>
          <w:left w:val="single" w:color="2563EB" w:sz="18" w:space="12"/>
        </w:pBdr>
        <w:spacing w:after="80" w:before="40"/>
      </w:pPr>
      <w:r>
        <w:rPr>
          <w:b/>
          <w:bCs/>
          <w:color w:val="0B1220"/>
        </w:rPr>
        <w:t xml:space="preserve">Narration:  </w:t>
      </w:r>
      <w:r>
        <w:rPr>
          <w:i/>
          <w:iCs/>
        </w:rPr>
        <w:t xml:space="preserve">“Skeptic Engine. Every transaction gets a fair trial — cited, argued, verified, and signed. Let’s run it on your data. Where should we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Visual composition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Logo center on dark; one primary CTA button ‘Book a live investigation’; contact + URL beneath. The Scene-01 particles return, now calm and blue — the blind spot fully resolved.</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Background</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Keynote dark (bookend with the open).</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Icons / illustration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Logo, CTA button, contact icons.</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Charts / data</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None.</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Animation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Particles settle into a steady, gentle constellation; CTA button pulses once.</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Camera movement</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Locked, centered, still.</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Transition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Hold on logo (end).</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Sound effects</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Warm resolve chord; single soft chime.</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Music</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Hero theme resolves to a clean final note.</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Color palette</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Navy + blue — bookends Scene 01.</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Typography</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Logo + CTA 22pt, contact 14pt.</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Emotional goal</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Action. ‘Let’s do this.’</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Call-to-action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Book a live investigation · contact · URL.</w:t>
            </w:r>
          </w:p>
        </w:tc>
      </w:tr>
    </w:tbl>
    <w:p>
      <w:r>
        <w:t xml:space="preserve"/>
      </w:r>
    </w:p>
    <w:p>
      <w:pPr>
        <w:pStyle w:val="Heading2"/>
      </w:pPr>
      <w:r>
        <w:t xml:space="preserve">Optional expansion scenes (for Technical / longer cuts)</w:t>
      </w:r>
    </w:p>
    <w:p>
      <w:pPr>
        <w:spacing w:after="120"/>
      </w:pPr>
      <w:r>
        <w:t xml:space="preserve">Insert these between Scene 11 and Scene 12 when presenting to an engineering or architecture audience, or when the runtime target is 20+ minutes.</w:t>
      </w:r>
    </w:p>
    <w:p>
      <w:pPr>
        <w:pStyle w:val="ListParagraph"/>
        <w:numPr>
          <w:ilvl w:val="0"/>
          <w:numId w:val="2"/>
        </w:numPr>
        <w:spacing w:after="60"/>
      </w:pPr>
      <w:r>
        <w:rPr>
          <w:b/>
          <w:bCs/>
        </w:rPr>
        <w:t xml:space="preserve">E1 — System architecture map:  </w:t>
      </w:r>
      <w:r>
        <w:t xml:space="preserve">Frontend (Next.js) → API gateway (FastAPI) → services → Celery workers → Redis queue → Postgres + pgvector → EventStoreDB audit. Animate each tier lighting as a request flows through.</w:t>
      </w:r>
    </w:p>
    <w:p>
      <w:pPr>
        <w:pStyle w:val="ListParagraph"/>
        <w:numPr>
          <w:ilvl w:val="0"/>
          <w:numId w:val="2"/>
        </w:numPr>
        <w:spacing w:after="60"/>
      </w:pPr>
      <w:r>
        <w:rPr>
          <w:b/>
          <w:bCs/>
        </w:rPr>
        <w:t xml:space="preserve">E2 — The LLM gateway:  </w:t>
      </w:r>
      <w:r>
        <w:t xml:space="preserve">Provider routing across Anthropic, OpenAI, Groq, Gemini, DeepSeek with automatic fallback; per-call cost, latency, and token metrics to Prometheus; optional LangSmith tracing.</w:t>
      </w:r>
    </w:p>
    <w:p>
      <w:pPr>
        <w:pStyle w:val="ListParagraph"/>
        <w:numPr>
          <w:ilvl w:val="0"/>
          <w:numId w:val="2"/>
        </w:numPr>
        <w:spacing w:after="60"/>
      </w:pPr>
      <w:r>
        <w:rPr>
          <w:b/>
          <w:bCs/>
        </w:rPr>
        <w:t xml:space="preserve">E3 — Reliability engineering:  </w:t>
      </w:r>
      <w:r>
        <w:t xml:space="preserve">Retry/backoff, circuit breakers, rate limiting, idempotent workers, checkpointed investigation state — framed as ‘what keeps it trustworthy at 3am’. (Note: some of these are roadmap items — see Section 19.)</w:t>
      </w:r>
    </w:p>
    <w:p>
      <w:pPr>
        <w:pStyle w:val="ListParagraph"/>
        <w:numPr>
          <w:ilvl w:val="0"/>
          <w:numId w:val="2"/>
        </w:numPr>
        <w:spacing w:after="60"/>
      </w:pPr>
      <w:r>
        <w:rPr>
          <w:b/>
          <w:bCs/>
        </w:rPr>
        <w:t xml:space="preserve">E4 — Observability &amp; evaluation:  </w:t>
      </w:r>
      <w:r>
        <w:t xml:space="preserve">Prometheus metrics at /metrics, the /analytics dashboard (confidence trend, verifier accuracy, hallucination rate), and the /evaluation A/B harness (multi-agent crew vs. single-prompt baseline).</w:t>
      </w:r>
    </w:p>
    <w:p>
      <w:r>
        <w:br w:type="page"/>
      </w:r>
    </w:p>
    <w:p>
      <w:pPr>
        <w:pStyle w:val="Heading1"/>
      </w:pPr>
      <w:r>
        <w:t xml:space="preserve">4. Canva Presentation Structure</w:t>
      </w:r>
    </w:p>
    <w:p>
      <w:pPr>
        <w:spacing w:after="120"/>
      </w:pPr>
      <w:r>
        <w:t xml:space="preserve">Build the deck as a 16:9 presentation (1920×1080). Use Canva’s ‘Presentation (16:9)’ doc type, one page per scene. Recommended organization:</w:t>
      </w:r>
    </w:p>
    <w:p>
      <w:pPr>
        <w:pStyle w:val="Heading3"/>
      </w:pPr>
      <w:r>
        <w:t xml:space="preserve">Page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2760"/>
        <w:gridCol w:w="2000"/>
      </w:tblGrid>
      <w:tr>
        <w:tc>
          <w:tcPr>
            <w:tcW w:type="dxa" w:w="1000"/>
            <w:tcBorders>
              <w:top w:val="single" w:color="D8DFEC" w:sz="1"/>
              <w:left w:val="single" w:color="D8DFEC" w:sz="1"/>
              <w:bottom w:val="single" w:color="D8DFEC" w:sz="1"/>
              <w:right w:val="single" w:color="D8DFEC" w:sz="1"/>
            </w:tcBorders>
            <w:shd w:fill="0B1220" w:val="clear"/>
            <w:tcMar>
              <w:top w:type="dxa" w:w="60"/>
              <w:left w:type="dxa" w:w="110"/>
              <w:bottom w:type="dxa" w:w="60"/>
              <w:right w:type="dxa" w:w="110"/>
            </w:tcMar>
          </w:tcPr>
          <w:p>
            <w:pPr>
              <w:jc w:val="left"/>
            </w:pPr>
            <w:r>
              <w:rPr>
                <w:b/>
                <w:bCs/>
                <w:color w:val="FFFFFF"/>
                <w:sz w:val="18"/>
                <w:szCs w:val="18"/>
              </w:rPr>
              <w:t xml:space="preserve">Page</w:t>
            </w:r>
          </w:p>
        </w:tc>
        <w:tc>
          <w:tcPr>
            <w:tcW w:type="dxa" w:w="3600"/>
            <w:tcBorders>
              <w:top w:val="single" w:color="D8DFEC" w:sz="1"/>
              <w:left w:val="single" w:color="D8DFEC" w:sz="1"/>
              <w:bottom w:val="single" w:color="D8DFEC" w:sz="1"/>
              <w:right w:val="single" w:color="D8DFEC" w:sz="1"/>
            </w:tcBorders>
            <w:shd w:fill="0B1220" w:val="clear"/>
            <w:tcMar>
              <w:top w:type="dxa" w:w="60"/>
              <w:left w:type="dxa" w:w="110"/>
              <w:bottom w:type="dxa" w:w="60"/>
              <w:right w:type="dxa" w:w="110"/>
            </w:tcMar>
          </w:tcPr>
          <w:p>
            <w:pPr>
              <w:jc w:val="left"/>
            </w:pPr>
            <w:r>
              <w:rPr>
                <w:b/>
                <w:bCs/>
                <w:color w:val="FFFFFF"/>
                <w:sz w:val="18"/>
                <w:szCs w:val="18"/>
              </w:rPr>
              <w:t xml:space="preserve">Scene / title</w:t>
            </w:r>
          </w:p>
        </w:tc>
        <w:tc>
          <w:tcPr>
            <w:tcW w:type="dxa" w:w="2760"/>
            <w:tcBorders>
              <w:top w:val="single" w:color="D8DFEC" w:sz="1"/>
              <w:left w:val="single" w:color="D8DFEC" w:sz="1"/>
              <w:bottom w:val="single" w:color="D8DFEC" w:sz="1"/>
              <w:right w:val="single" w:color="D8DFEC" w:sz="1"/>
            </w:tcBorders>
            <w:shd w:fill="0B1220" w:val="clear"/>
            <w:tcMar>
              <w:top w:type="dxa" w:w="60"/>
              <w:left w:type="dxa" w:w="110"/>
              <w:bottom w:type="dxa" w:w="60"/>
              <w:right w:type="dxa" w:w="110"/>
            </w:tcMar>
          </w:tcPr>
          <w:p>
            <w:pPr>
              <w:jc w:val="left"/>
            </w:pPr>
            <w:r>
              <w:rPr>
                <w:b/>
                <w:bCs/>
                <w:color w:val="FFFFFF"/>
                <w:sz w:val="18"/>
                <w:szCs w:val="18"/>
              </w:rPr>
              <w:t xml:space="preserve">Layout template</w:t>
            </w:r>
          </w:p>
        </w:tc>
        <w:tc>
          <w:tcPr>
            <w:tcW w:type="dxa" w:w="2000"/>
            <w:tcBorders>
              <w:top w:val="single" w:color="D8DFEC" w:sz="1"/>
              <w:left w:val="single" w:color="D8DFEC" w:sz="1"/>
              <w:bottom w:val="single" w:color="D8DFEC" w:sz="1"/>
              <w:right w:val="single" w:color="D8DFEC" w:sz="1"/>
            </w:tcBorders>
            <w:shd w:fill="0B1220" w:val="clear"/>
            <w:tcMar>
              <w:top w:type="dxa" w:w="60"/>
              <w:left w:type="dxa" w:w="110"/>
              <w:bottom w:type="dxa" w:w="60"/>
              <w:right w:type="dxa" w:w="110"/>
            </w:tcMar>
          </w:tcPr>
          <w:p>
            <w:pPr>
              <w:jc w:val="left"/>
            </w:pPr>
            <w:r>
              <w:rPr>
                <w:b/>
                <w:bCs/>
                <w:color w:val="FFFFFF"/>
                <w:sz w:val="18"/>
                <w:szCs w:val="18"/>
              </w:rPr>
              <w:t xml:space="preserve">Theme</w:t>
            </w:r>
          </w:p>
        </w:tc>
      </w:tr>
      <w:tr>
        <w:tc>
          <w:tcPr>
            <w:tcW w:type="dxa" w:w="10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1</w:t>
            </w:r>
          </w:p>
        </w:tc>
        <w:tc>
          <w:tcPr>
            <w:tcW w:type="dxa" w:w="36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Cold open / title</w:t>
            </w:r>
          </w:p>
        </w:tc>
        <w:tc>
          <w:tcPr>
            <w:tcW w:type="dxa" w:w="27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Full-bleed dark + centered type</w:t>
            </w:r>
          </w:p>
        </w:tc>
        <w:tc>
          <w:tcPr>
            <w:tcW w:type="dxa" w:w="20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Dark</w:t>
            </w:r>
          </w:p>
        </w:tc>
      </w:tr>
      <w:tr>
        <w:tc>
          <w:tcPr>
            <w:tcW w:type="dxa" w:w="10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2</w:t>
            </w:r>
          </w:p>
        </w:tc>
        <w:tc>
          <w:tcPr>
            <w:tcW w:type="dxa" w:w="36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The problem (3 pain cards)</w:t>
            </w:r>
          </w:p>
        </w:tc>
        <w:tc>
          <w:tcPr>
            <w:tcW w:type="dxa" w:w="27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3-card row on dark</w:t>
            </w:r>
          </w:p>
        </w:tc>
        <w:tc>
          <w:tcPr>
            <w:tcW w:type="dxa" w:w="20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Dark</w:t>
            </w:r>
          </w:p>
        </w:tc>
      </w:tr>
      <w:tr>
        <w:tc>
          <w:tcPr>
            <w:tcW w:type="dxa" w:w="10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3</w:t>
            </w:r>
          </w:p>
        </w:tc>
        <w:tc>
          <w:tcPr>
            <w:tcW w:type="dxa" w:w="36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The cost (stat callouts)</w:t>
            </w:r>
          </w:p>
        </w:tc>
        <w:tc>
          <w:tcPr>
            <w:tcW w:type="dxa" w:w="27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3 big-number columns</w:t>
            </w:r>
          </w:p>
        </w:tc>
        <w:tc>
          <w:tcPr>
            <w:tcW w:type="dxa" w:w="20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Dark</w:t>
            </w:r>
          </w:p>
        </w:tc>
      </w:tr>
      <w:tr>
        <w:tc>
          <w:tcPr>
            <w:tcW w:type="dxa" w:w="10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4</w:t>
            </w:r>
          </w:p>
        </w:tc>
        <w:tc>
          <w:tcPr>
            <w:tcW w:type="dxa" w:w="36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The vision / logo reveal</w:t>
            </w:r>
          </w:p>
        </w:tc>
        <w:tc>
          <w:tcPr>
            <w:tcW w:type="dxa" w:w="27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Centered hero</w:t>
            </w:r>
          </w:p>
        </w:tc>
        <w:tc>
          <w:tcPr>
            <w:tcW w:type="dxa" w:w="20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Light pivot</w:t>
            </w:r>
          </w:p>
        </w:tc>
      </w:tr>
      <w:tr>
        <w:tc>
          <w:tcPr>
            <w:tcW w:type="dxa" w:w="10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5</w:t>
            </w:r>
          </w:p>
        </w:tc>
        <w:tc>
          <w:tcPr>
            <w:tcW w:type="dxa" w:w="36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Meet the crew (6 agents)</w:t>
            </w:r>
          </w:p>
        </w:tc>
        <w:tc>
          <w:tcPr>
            <w:tcW w:type="dxa" w:w="27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Orbit / 2×3 grid</w:t>
            </w:r>
          </w:p>
        </w:tc>
        <w:tc>
          <w:tcPr>
            <w:tcW w:type="dxa" w:w="20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Light</w:t>
            </w:r>
          </w:p>
        </w:tc>
      </w:tr>
      <w:tr>
        <w:tc>
          <w:tcPr>
            <w:tcW w:type="dxa" w:w="10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6</w:t>
            </w:r>
          </w:p>
        </w:tc>
        <w:tc>
          <w:tcPr>
            <w:tcW w:type="dxa" w:w="36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The debate</w:t>
            </w:r>
          </w:p>
        </w:tc>
        <w:tc>
          <w:tcPr>
            <w:tcW w:type="dxa" w:w="27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Split-screen comparison</w:t>
            </w:r>
          </w:p>
        </w:tc>
        <w:tc>
          <w:tcPr>
            <w:tcW w:type="dxa" w:w="20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Light</w:t>
            </w:r>
          </w:p>
        </w:tc>
      </w:tr>
      <w:tr>
        <w:tc>
          <w:tcPr>
            <w:tcW w:type="dxa" w:w="10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7</w:t>
            </w:r>
          </w:p>
        </w:tc>
        <w:tc>
          <w:tcPr>
            <w:tcW w:type="dxa" w:w="36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Evidence &amp; citations</w:t>
            </w:r>
          </w:p>
        </w:tc>
        <w:tc>
          <w:tcPr>
            <w:tcW w:type="dxa" w:w="27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Two-column linked list</w:t>
            </w:r>
          </w:p>
        </w:tc>
        <w:tc>
          <w:tcPr>
            <w:tcW w:type="dxa" w:w="20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Light</w:t>
            </w:r>
          </w:p>
        </w:tc>
      </w:tr>
      <w:tr>
        <w:tc>
          <w:tcPr>
            <w:tcW w:type="dxa" w:w="10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8</w:t>
            </w:r>
          </w:p>
        </w:tc>
        <w:tc>
          <w:tcPr>
            <w:tcW w:type="dxa" w:w="36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Confidence gate</w:t>
            </w:r>
          </w:p>
        </w:tc>
        <w:tc>
          <w:tcPr>
            <w:tcW w:type="dxa" w:w="27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3-lane flow diagram</w:t>
            </w:r>
          </w:p>
        </w:tc>
        <w:tc>
          <w:tcPr>
            <w:tcW w:type="dxa" w:w="20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Light</w:t>
            </w:r>
          </w:p>
        </w:tc>
      </w:tr>
      <w:tr>
        <w:tc>
          <w:tcPr>
            <w:tcW w:type="dxa" w:w="10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9</w:t>
            </w:r>
          </w:p>
        </w:tc>
        <w:tc>
          <w:tcPr>
            <w:tcW w:type="dxa" w:w="36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Immutable audit trail</w:t>
            </w:r>
          </w:p>
        </w:tc>
        <w:tc>
          <w:tcPr>
            <w:tcW w:type="dxa" w:w="27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Vertical chain on dark</w:t>
            </w:r>
          </w:p>
        </w:tc>
        <w:tc>
          <w:tcPr>
            <w:tcW w:type="dxa" w:w="20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Dark</w:t>
            </w:r>
          </w:p>
        </w:tc>
      </w:tr>
      <w:tr>
        <w:tc>
          <w:tcPr>
            <w:tcW w:type="dxa" w:w="10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10</w:t>
            </w:r>
          </w:p>
        </w:tc>
        <w:tc>
          <w:tcPr>
            <w:tcW w:type="dxa" w:w="36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Live product walkthrough</w:t>
            </w:r>
          </w:p>
        </w:tc>
        <w:tc>
          <w:tcPr>
            <w:tcW w:type="dxa" w:w="27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Device mockup + captions</w:t>
            </w:r>
          </w:p>
        </w:tc>
        <w:tc>
          <w:tcPr>
            <w:tcW w:type="dxa" w:w="20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Light</w:t>
            </w:r>
          </w:p>
        </w:tc>
      </w:tr>
      <w:tr>
        <w:tc>
          <w:tcPr>
            <w:tcW w:type="dxa" w:w="10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11</w:t>
            </w:r>
          </w:p>
        </w:tc>
        <w:tc>
          <w:tcPr>
            <w:tcW w:type="dxa" w:w="36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Behind the scenes</w:t>
            </w:r>
          </w:p>
        </w:tc>
        <w:tc>
          <w:tcPr>
            <w:tcW w:type="dxa" w:w="27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Horizontal pipeline</w:t>
            </w:r>
          </w:p>
        </w:tc>
        <w:tc>
          <w:tcPr>
            <w:tcW w:type="dxa" w:w="20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Dark</w:t>
            </w:r>
          </w:p>
        </w:tc>
      </w:tr>
      <w:tr>
        <w:tc>
          <w:tcPr>
            <w:tcW w:type="dxa" w:w="10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12</w:t>
            </w:r>
          </w:p>
        </w:tc>
        <w:tc>
          <w:tcPr>
            <w:tcW w:type="dxa" w:w="36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Business impact</w:t>
            </w:r>
          </w:p>
        </w:tc>
        <w:tc>
          <w:tcPr>
            <w:tcW w:type="dxa" w:w="27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Before/After + 4 stat cards</w:t>
            </w:r>
          </w:p>
        </w:tc>
        <w:tc>
          <w:tcPr>
            <w:tcW w:type="dxa" w:w="20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Light</w:t>
            </w:r>
          </w:p>
        </w:tc>
      </w:tr>
      <w:tr>
        <w:tc>
          <w:tcPr>
            <w:tcW w:type="dxa" w:w="10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13</w:t>
            </w:r>
          </w:p>
        </w:tc>
        <w:tc>
          <w:tcPr>
            <w:tcW w:type="dxa" w:w="36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Roadmap / future</w:t>
            </w:r>
          </w:p>
        </w:tc>
        <w:tc>
          <w:tcPr>
            <w:tcW w:type="dxa" w:w="27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Horizon timeline</w:t>
            </w:r>
          </w:p>
        </w:tc>
        <w:tc>
          <w:tcPr>
            <w:tcW w:type="dxa" w:w="20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Gradient</w:t>
            </w:r>
          </w:p>
        </w:tc>
      </w:tr>
      <w:tr>
        <w:tc>
          <w:tcPr>
            <w:tcW w:type="dxa" w:w="10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14</w:t>
            </w:r>
          </w:p>
        </w:tc>
        <w:tc>
          <w:tcPr>
            <w:tcW w:type="dxa" w:w="36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Close / CTA</w:t>
            </w:r>
          </w:p>
        </w:tc>
        <w:tc>
          <w:tcPr>
            <w:tcW w:type="dxa" w:w="27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Centered logo + button</w:t>
            </w:r>
          </w:p>
        </w:tc>
        <w:tc>
          <w:tcPr>
            <w:tcW w:type="dxa" w:w="20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Dark</w:t>
            </w:r>
          </w:p>
        </w:tc>
      </w:tr>
    </w:tbl>
    <w:p>
      <w:r>
        <w:t xml:space="preserve"/>
      </w:r>
    </w:p>
    <w:p>
      <w:pPr>
        <w:pBdr>
          <w:left w:val="single" w:color="2563EB" w:sz="18" w:space="12"/>
        </w:pBdr>
        <w:spacing w:after="160" w:before="80"/>
      </w:pPr>
      <w:r>
        <w:rPr>
          <w:i/>
          <w:iCs/>
          <w:color w:val="0B1220"/>
        </w:rPr>
        <w:t xml:space="preserve">Sandwich structure: dark title + dark problem opening → light content middle → dark close. The two ‘trust’ beats (audit trail, behind-the-scenes) return to dark for gravitas. This rhythm keeps the deck from feeling flat.</w:t>
      </w:r>
    </w:p>
    <w:p>
      <w:pPr>
        <w:pStyle w:val="Heading3"/>
      </w:pPr>
      <w:r>
        <w:t xml:space="preserve">Canva setup checklist</w:t>
      </w:r>
    </w:p>
    <w:p>
      <w:pPr>
        <w:pStyle w:val="ListParagraph"/>
        <w:numPr>
          <w:ilvl w:val="0"/>
          <w:numId w:val="3"/>
        </w:numPr>
        <w:spacing w:after="60"/>
      </w:pPr>
      <w:r>
        <w:t xml:space="preserve">Create a Brand Kit: add the color palette (Section 11), upload Inter + JetBrains Mono, set logo.</w:t>
      </w:r>
    </w:p>
    <w:p>
      <w:pPr>
        <w:pStyle w:val="ListParagraph"/>
        <w:numPr>
          <w:ilvl w:val="0"/>
          <w:numId w:val="3"/>
        </w:numPr>
        <w:spacing w:after="60"/>
      </w:pPr>
      <w:r>
        <w:t xml:space="preserve">Start from a dark minimal SaaS template; duplicate the master pages for the dark/light variants.</w:t>
      </w:r>
    </w:p>
    <w:p>
      <w:pPr>
        <w:pStyle w:val="ListParagraph"/>
        <w:numPr>
          <w:ilvl w:val="0"/>
          <w:numId w:val="3"/>
        </w:numPr>
        <w:spacing w:after="60"/>
      </w:pPr>
      <w:r>
        <w:t xml:space="preserve">Build two reusable frames: ‘stat card’ and ‘agent card’ — then copy them across scenes for consistency.</w:t>
      </w:r>
    </w:p>
    <w:p>
      <w:pPr>
        <w:pStyle w:val="ListParagraph"/>
        <w:numPr>
          <w:ilvl w:val="0"/>
          <w:numId w:val="3"/>
        </w:numPr>
        <w:spacing w:after="60"/>
      </w:pPr>
      <w:r>
        <w:t xml:space="preserve">Use Canva’s ‘Magic Animate’ sparingly; prefer per-element ‘Rise’/‘Fade’ with the timings in Section 7.</w:t>
      </w:r>
    </w:p>
    <w:p>
      <w:pPr>
        <w:pStyle w:val="ListParagraph"/>
        <w:numPr>
          <w:ilvl w:val="0"/>
          <w:numId w:val="3"/>
        </w:numPr>
        <w:spacing w:after="60"/>
      </w:pPr>
      <w:r>
        <w:t xml:space="preserve">Embed the product screen-recording on Page 10 (upload MP4) rather than static screenshots.</w:t>
      </w:r>
    </w:p>
    <w:p>
      <w:pPr>
        <w:pStyle w:val="ListParagraph"/>
        <w:numPr>
          <w:ilvl w:val="0"/>
          <w:numId w:val="3"/>
        </w:numPr>
        <w:spacing w:after="60"/>
      </w:pPr>
      <w:r>
        <w:t xml:space="preserve">Add speaker notes from the narration script to every page for presenter view.</w:t>
      </w:r>
    </w:p>
    <w:p>
      <w:r>
        <w:br w:type="page"/>
      </w:r>
    </w:p>
    <w:p>
      <w:pPr>
        <w:pStyle w:val="Heading1"/>
      </w:pPr>
      <w:r>
        <w:t xml:space="preserve">5. Slide Layout Wireframes</w:t>
      </w:r>
    </w:p>
    <w:p>
      <w:pPr>
        <w:spacing w:after="120"/>
      </w:pPr>
      <w:r>
        <w:t xml:space="preserve">Text wireframes for the recurring layouts. Coordinates assume a 1920×1080 canvas with 96px safe margins.</w:t>
      </w:r>
    </w:p>
    <w:p>
      <w:pPr>
        <w:pStyle w:val="Heading3"/>
      </w:pPr>
      <w:r>
        <w:t xml:space="preserve">A. Cold open / title (dark)</w:t>
      </w:r>
    </w:p>
    <w:p>
      <w:pPr>
        <w:spacing w:after="0"/>
      </w:pPr>
      <w:r>
        <w:rPr>
          <w:rFonts w:ascii="Courier New" w:cs="Courier New" w:eastAsia="Courier New" w:hAnsi="Courier New"/>
          <w:color w:val="151A2D"/>
          <w:sz w:val="16"/>
          <w:szCs w:val="16"/>
        </w:rPr>
        <w:t xml:space="preserve">+--------------------------------------------------+</w:t>
      </w:r>
    </w:p>
    <w:p>
      <w:pPr>
        <w:spacing w:after="0"/>
      </w:pPr>
      <w:r>
        <w:rPr>
          <w:rFonts w:ascii="Courier New" w:cs="Courier New" w:eastAsia="Courier New" w:hAnsi="Courier New"/>
          <w:color w:val="151A2D"/>
          <w:sz w:val="16"/>
          <w:szCs w:val="16"/>
        </w:rPr>
        <w:t xml:space="preserve">|            [ particle field, upward ]            |</w:t>
      </w:r>
    </w:p>
    <w:p>
      <w:pPr>
        <w:spacing w:after="0"/>
      </w:pPr>
      <w:r>
        <w:rPr>
          <w:rFonts w:ascii="Courier New" w:cs="Courier New" w:eastAsia="Courier New" w:hAnsi="Courier New"/>
          <w:color w:val="151A2D"/>
          <w:sz w:val="16"/>
          <w:szCs w:val="16"/>
        </w:rPr>
        <w:t xml:space="preserve">|                                                  |</w:t>
      </w:r>
    </w:p>
    <w:p>
      <w:pPr>
        <w:spacing w:after="0"/>
      </w:pPr>
      <w:r>
        <w:rPr>
          <w:rFonts w:ascii="Courier New" w:cs="Courier New" w:eastAsia="Courier New" w:hAnsi="Courier New"/>
          <w:color w:val="151A2D"/>
          <w:sz w:val="16"/>
          <w:szCs w:val="16"/>
        </w:rPr>
        <w:t xml:space="preserve">|          EVERY TRANSACTION IS A QUESTION         |   &lt;- 44pt centered</w:t>
      </w:r>
    </w:p>
    <w:p>
      <w:pPr>
        <w:spacing w:after="0"/>
      </w:pPr>
      <w:r>
        <w:rPr>
          <w:rFonts w:ascii="Courier New" w:cs="Courier New" w:eastAsia="Courier New" w:hAnsi="Courier New"/>
          <w:color w:val="151A2D"/>
          <w:sz w:val="16"/>
          <w:szCs w:val="16"/>
        </w:rPr>
        <w:t xml:space="preserve">|            no one has time to ask                |   &lt;- 20pt muted</w:t>
      </w:r>
    </w:p>
    <w:p>
      <w:pPr>
        <w:spacing w:after="0"/>
      </w:pPr>
      <w:r>
        <w:rPr>
          <w:rFonts w:ascii="Courier New" w:cs="Courier New" w:eastAsia="Courier New" w:hAnsi="Courier New"/>
          <w:color w:val="151A2D"/>
          <w:sz w:val="16"/>
          <w:szCs w:val="16"/>
        </w:rPr>
        <w:t xml:space="preserve">|                                 ~5% sampled  &gt;   |   &lt;- stat, lower-right</w:t>
      </w:r>
    </w:p>
    <w:p>
      <w:pPr>
        <w:spacing w:after="0"/>
      </w:pPr>
      <w:r>
        <w:rPr>
          <w:rFonts w:ascii="Courier New" w:cs="Courier New" w:eastAsia="Courier New" w:hAnsi="Courier New"/>
          <w:color w:val="151A2D"/>
          <w:sz w:val="16"/>
          <w:szCs w:val="16"/>
        </w:rPr>
        <w:t xml:space="preserve">+--------------------------------------------------+</w:t>
      </w:r>
    </w:p>
    <w:p>
      <w:r>
        <w:t xml:space="preserve"/>
      </w:r>
    </w:p>
    <w:p>
      <w:pPr>
        <w:pStyle w:val="Heading3"/>
      </w:pPr>
      <w:r>
        <w:t xml:space="preserve">B. 3-card problem row (dark)</w:t>
      </w:r>
    </w:p>
    <w:p>
      <w:pPr>
        <w:spacing w:after="0"/>
      </w:pPr>
      <w:r>
        <w:rPr>
          <w:rFonts w:ascii="Courier New" w:cs="Courier New" w:eastAsia="Courier New" w:hAnsi="Courier New"/>
          <w:color w:val="151A2D"/>
          <w:sz w:val="16"/>
          <w:szCs w:val="16"/>
        </w:rPr>
        <w:t xml:space="preserve">+--------------------------------------------------+</w:t>
      </w:r>
    </w:p>
    <w:p>
      <w:pPr>
        <w:spacing w:after="0"/>
      </w:pPr>
      <w:r>
        <w:rPr>
          <w:rFonts w:ascii="Courier New" w:cs="Courier New" w:eastAsia="Courier New" w:hAnsi="Courier New"/>
          <w:color w:val="151A2D"/>
          <w:sz w:val="16"/>
          <w:szCs w:val="16"/>
        </w:rPr>
        <w:t xml:space="preserve">|  THE COST OF NOT LOOKING              (title TL) |</w:t>
      </w:r>
    </w:p>
    <w:p>
      <w:pPr>
        <w:spacing w:after="0"/>
      </w:pPr>
      <w:r>
        <w:rPr>
          <w:rFonts w:ascii="Courier New" w:cs="Courier New" w:eastAsia="Courier New" w:hAnsi="Courier New"/>
          <w:color w:val="151A2D"/>
          <w:sz w:val="16"/>
          <w:szCs w:val="16"/>
        </w:rPr>
        <w:t xml:space="preserve">|  [(clock)]      [(bell)]       [(iceberg)]       |</w:t>
      </w:r>
    </w:p>
    <w:p>
      <w:pPr>
        <w:spacing w:after="0"/>
      </w:pPr>
      <w:r>
        <w:rPr>
          <w:rFonts w:ascii="Courier New" w:cs="Courier New" w:eastAsia="Courier New" w:hAnsi="Courier New"/>
          <w:color w:val="151A2D"/>
          <w:sz w:val="16"/>
          <w:szCs w:val="16"/>
        </w:rPr>
        <w:t xml:space="preserve">|  Manual&amp;Slow    False Positives  Missed Fraud    |</w:t>
      </w:r>
    </w:p>
    <w:p>
      <w:pPr>
        <w:spacing w:after="0"/>
      </w:pPr>
      <w:r>
        <w:rPr>
          <w:rFonts w:ascii="Courier New" w:cs="Courier New" w:eastAsia="Courier New" w:hAnsi="Courier New"/>
          <w:color w:val="151A2D"/>
          <w:sz w:val="16"/>
          <w:szCs w:val="16"/>
        </w:rPr>
        <w:t xml:space="preserve">|  desc...        desc...          desc...         |</w:t>
      </w:r>
    </w:p>
    <w:p>
      <w:pPr>
        <w:spacing w:after="0"/>
      </w:pPr>
      <w:r>
        <w:rPr>
          <w:rFonts w:ascii="Courier New" w:cs="Courier New" w:eastAsia="Courier New" w:hAnsi="Courier New"/>
          <w:color w:val="151A2D"/>
          <w:sz w:val="16"/>
          <w:szCs w:val="16"/>
        </w:rPr>
        <w:t xml:space="preserve">+--------------------------------------------------+</w:t>
      </w:r>
    </w:p>
    <w:p>
      <w:r>
        <w:t xml:space="preserve"/>
      </w:r>
    </w:p>
    <w:p>
      <w:pPr>
        <w:pStyle w:val="Heading3"/>
      </w:pPr>
      <w:r>
        <w:t xml:space="preserve">C. Split-screen debate (light)</w:t>
      </w:r>
    </w:p>
    <w:p>
      <w:pPr>
        <w:spacing w:after="0"/>
      </w:pPr>
      <w:r>
        <w:rPr>
          <w:rFonts w:ascii="Courier New" w:cs="Courier New" w:eastAsia="Courier New" w:hAnsi="Courier New"/>
          <w:color w:val="151A2D"/>
          <w:sz w:val="16"/>
          <w:szCs w:val="16"/>
        </w:rPr>
        <w:t xml:space="preserve">+------------------------+-------------------------+</w:t>
      </w:r>
    </w:p>
    <w:p>
      <w:pPr>
        <w:spacing w:after="0"/>
      </w:pPr>
      <w:r>
        <w:rPr>
          <w:rFonts w:ascii="Courier New" w:cs="Courier New" w:eastAsia="Courier New" w:hAnsi="Courier New"/>
          <w:color w:val="151A2D"/>
          <w:sz w:val="16"/>
          <w:szCs w:val="16"/>
        </w:rPr>
        <w:t xml:space="preserve">|  CHALLENGER  (red)     |   DEFENDER  (emerald)   |</w:t>
      </w:r>
    </w:p>
    <w:p>
      <w:pPr>
        <w:spacing w:after="0"/>
      </w:pPr>
      <w:r>
        <w:rPr>
          <w:rFonts w:ascii="Courier New" w:cs="Courier New" w:eastAsia="Courier New" w:hAnsi="Courier New"/>
          <w:color w:val="151A2D"/>
          <w:sz w:val="16"/>
          <w:szCs w:val="16"/>
        </w:rPr>
        <w:t xml:space="preserve">|  - argument bubble     |   - argument bubble     |</w:t>
      </w:r>
    </w:p>
    <w:p>
      <w:pPr>
        <w:spacing w:after="0"/>
      </w:pPr>
      <w:r>
        <w:rPr>
          <w:rFonts w:ascii="Courier New" w:cs="Courier New" w:eastAsia="Courier New" w:hAnsi="Courier New"/>
          <w:color w:val="151A2D"/>
          <w:sz w:val="16"/>
          <w:szCs w:val="16"/>
        </w:rPr>
        <w:t xml:space="preserve">|  - argument bubble     |   - argument bubble     |</w:t>
      </w:r>
    </w:p>
    <w:p>
      <w:pPr>
        <w:spacing w:after="0"/>
      </w:pPr>
      <w:r>
        <w:rPr>
          <w:rFonts w:ascii="Courier New" w:cs="Courier New" w:eastAsia="Courier New" w:hAnsi="Courier New"/>
          <w:color w:val="151A2D"/>
          <w:sz w:val="16"/>
          <w:szCs w:val="16"/>
        </w:rPr>
        <w:t xml:space="preserve">|            [ confidence meter 0---|---1 ]        |</w:t>
      </w:r>
    </w:p>
    <w:p>
      <w:pPr>
        <w:spacing w:after="0"/>
      </w:pPr>
      <w:r>
        <w:rPr>
          <w:rFonts w:ascii="Courier New" w:cs="Courier New" w:eastAsia="Courier New" w:hAnsi="Courier New"/>
          <w:color w:val="151A2D"/>
          <w:sz w:val="16"/>
          <w:szCs w:val="16"/>
        </w:rPr>
        <w:t xml:space="preserve">|                 [ (gavel) VERDICT ]              |</w:t>
      </w:r>
    </w:p>
    <w:p>
      <w:pPr>
        <w:spacing w:after="0"/>
      </w:pPr>
      <w:r>
        <w:rPr>
          <w:rFonts w:ascii="Courier New" w:cs="Courier New" w:eastAsia="Courier New" w:hAnsi="Courier New"/>
          <w:color w:val="151A2D"/>
          <w:sz w:val="16"/>
          <w:szCs w:val="16"/>
        </w:rPr>
        <w:t xml:space="preserve">+------------------------+-------------------------+</w:t>
      </w:r>
    </w:p>
    <w:p>
      <w:r>
        <w:t xml:space="preserve"/>
      </w:r>
    </w:p>
    <w:p>
      <w:pPr>
        <w:pStyle w:val="Heading3"/>
      </w:pPr>
      <w:r>
        <w:t xml:space="preserve">D. 3-lane confidence gate (light)</w:t>
      </w:r>
    </w:p>
    <w:p>
      <w:pPr>
        <w:spacing w:after="0"/>
      </w:pPr>
      <w:r>
        <w:rPr>
          <w:rFonts w:ascii="Courier New" w:cs="Courier New" w:eastAsia="Courier New" w:hAnsi="Courier New"/>
          <w:color w:val="151A2D"/>
          <w:sz w:val="16"/>
          <w:szCs w:val="16"/>
        </w:rPr>
        <w:t xml:space="preserve">+--------------------------------------------------+</w:t>
      </w:r>
    </w:p>
    <w:p>
      <w:pPr>
        <w:spacing w:after="0"/>
      </w:pPr>
      <w:r>
        <w:rPr>
          <w:rFonts w:ascii="Courier New" w:cs="Courier New" w:eastAsia="Courier New" w:hAnsi="Courier New"/>
          <w:color w:val="151A2D"/>
          <w:sz w:val="16"/>
          <w:szCs w:val="16"/>
        </w:rPr>
        <w:t xml:space="preserve">|  case --&gt; ( GATE )                               |</w:t>
      </w:r>
    </w:p>
    <w:p>
      <w:pPr>
        <w:spacing w:after="0"/>
      </w:pPr>
      <w:r>
        <w:rPr>
          <w:rFonts w:ascii="Courier New" w:cs="Courier New" w:eastAsia="Courier New" w:hAnsi="Courier New"/>
          <w:color w:val="151A2D"/>
          <w:sz w:val="16"/>
          <w:szCs w:val="16"/>
        </w:rPr>
        <w:t xml:space="preserve">|            |-- &gt;=0.90 --&gt; AUTO-CLEAR   (emerald) |</w:t>
      </w:r>
    </w:p>
    <w:p>
      <w:pPr>
        <w:spacing w:after="0"/>
      </w:pPr>
      <w:r>
        <w:rPr>
          <w:rFonts w:ascii="Courier New" w:cs="Courier New" w:eastAsia="Courier New" w:hAnsi="Courier New"/>
          <w:color w:val="151A2D"/>
          <w:sz w:val="16"/>
          <w:szCs w:val="16"/>
        </w:rPr>
        <w:t xml:space="preserve">|            |-- 0.70-0.90 --&gt; HUMAN REVIEW (amber)|</w:t>
      </w:r>
    </w:p>
    <w:p>
      <w:pPr>
        <w:spacing w:after="0"/>
      </w:pPr>
      <w:r>
        <w:rPr>
          <w:rFonts w:ascii="Courier New" w:cs="Courier New" w:eastAsia="Courier New" w:hAnsi="Courier New"/>
          <w:color w:val="151A2D"/>
          <w:sz w:val="16"/>
          <w:szCs w:val="16"/>
        </w:rPr>
        <w:t xml:space="preserve">|            |-- &lt;0.70 --&gt; ESCALATE       (red)    |</w:t>
      </w:r>
    </w:p>
    <w:p>
      <w:pPr>
        <w:spacing w:after="0"/>
      </w:pPr>
      <w:r>
        <w:rPr>
          <w:rFonts w:ascii="Courier New" w:cs="Courier New" w:eastAsia="Courier New" w:hAnsi="Courier New"/>
          <w:color w:val="151A2D"/>
          <w:sz w:val="16"/>
          <w:szCs w:val="16"/>
        </w:rPr>
        <w:t xml:space="preserve">+--------------------------------------------------+</w:t>
      </w:r>
    </w:p>
    <w:p>
      <w:r>
        <w:t xml:space="preserve"/>
      </w:r>
    </w:p>
    <w:p>
      <w:pPr>
        <w:pStyle w:val="Heading3"/>
      </w:pPr>
      <w:r>
        <w:t xml:space="preserve">E. Before/After impact (light)</w:t>
      </w:r>
    </w:p>
    <w:p>
      <w:pPr>
        <w:spacing w:after="0"/>
      </w:pPr>
      <w:r>
        <w:rPr>
          <w:rFonts w:ascii="Courier New" w:cs="Courier New" w:eastAsia="Courier New" w:hAnsi="Courier New"/>
          <w:color w:val="151A2D"/>
          <w:sz w:val="16"/>
          <w:szCs w:val="16"/>
        </w:rPr>
        <w:t xml:space="preserve">+------------------------+-------------------------+</w:t>
      </w:r>
    </w:p>
    <w:p>
      <w:pPr>
        <w:spacing w:after="0"/>
      </w:pPr>
      <w:r>
        <w:rPr>
          <w:rFonts w:ascii="Courier New" w:cs="Courier New" w:eastAsia="Courier New" w:hAnsi="Courier New"/>
          <w:color w:val="151A2D"/>
          <w:sz w:val="16"/>
          <w:szCs w:val="16"/>
        </w:rPr>
        <w:t xml:space="preserve">|  BEFORE                |   AFTER                 |</w:t>
      </w:r>
    </w:p>
    <w:p>
      <w:pPr>
        <w:spacing w:after="0"/>
      </w:pPr>
      <w:r>
        <w:rPr>
          <w:rFonts w:ascii="Courier New" w:cs="Courier New" w:eastAsia="Courier New" w:hAnsi="Courier New"/>
          <w:color w:val="151A2D"/>
          <w:sz w:val="16"/>
          <w:szCs w:val="16"/>
        </w:rPr>
        <w:t xml:space="preserve">|  ( 5% donut )          |   ( 100% donut )        |</w:t>
      </w:r>
    </w:p>
    <w:p>
      <w:pPr>
        <w:spacing w:after="0"/>
      </w:pPr>
      <w:r>
        <w:rPr>
          <w:rFonts w:ascii="Courier New" w:cs="Courier New" w:eastAsia="Courier New" w:hAnsi="Courier New"/>
          <w:color w:val="151A2D"/>
          <w:sz w:val="16"/>
          <w:szCs w:val="16"/>
        </w:rPr>
        <w:t xml:space="preserve">|  hours / hope          |   minutes / evidence    |</w:t>
      </w:r>
    </w:p>
    <w:p>
      <w:pPr>
        <w:spacing w:after="0"/>
      </w:pPr>
      <w:r>
        <w:rPr>
          <w:rFonts w:ascii="Courier New" w:cs="Courier New" w:eastAsia="Courier New" w:hAnsi="Courier New"/>
          <w:color w:val="151A2D"/>
          <w:sz w:val="16"/>
          <w:szCs w:val="16"/>
        </w:rPr>
        <w:t xml:space="preserve">+------------------------+-------------------------+</w:t>
      </w:r>
    </w:p>
    <w:p>
      <w:pPr>
        <w:spacing w:after="0"/>
      </w:pPr>
      <w:r>
        <w:rPr>
          <w:rFonts w:ascii="Courier New" w:cs="Courier New" w:eastAsia="Courier New" w:hAnsi="Courier New"/>
          <w:color w:val="151A2D"/>
          <w:sz w:val="16"/>
          <w:szCs w:val="16"/>
        </w:rPr>
        <w:t xml:space="preserve">|  [stat] [stat] [stat] [stat]  (4 count-up cards) |</w:t>
      </w:r>
    </w:p>
    <w:p>
      <w:pPr>
        <w:spacing w:after="0"/>
      </w:pPr>
      <w:r>
        <w:rPr>
          <w:rFonts w:ascii="Courier New" w:cs="Courier New" w:eastAsia="Courier New" w:hAnsi="Courier New"/>
          <w:color w:val="151A2D"/>
          <w:sz w:val="16"/>
          <w:szCs w:val="16"/>
        </w:rPr>
        <w:t xml:space="preserve">+--------------------------------------------------+</w:t>
      </w:r>
    </w:p>
    <w:p>
      <w:r>
        <w:t xml:space="preserve"/>
      </w:r>
    </w:p>
    <w:p>
      <w:pPr>
        <w:pStyle w:val="Heading3"/>
      </w:pPr>
      <w:r>
        <w:t xml:space="preserve">F. Device walkthrough (light)</w:t>
      </w:r>
    </w:p>
    <w:p>
      <w:pPr>
        <w:spacing w:after="0"/>
      </w:pPr>
      <w:r>
        <w:rPr>
          <w:rFonts w:ascii="Courier New" w:cs="Courier New" w:eastAsia="Courier New" w:hAnsi="Courier New"/>
          <w:color w:val="151A2D"/>
          <w:sz w:val="16"/>
          <w:szCs w:val="16"/>
        </w:rPr>
        <w:t xml:space="preserve">+--------------------------------------------------+</w:t>
      </w:r>
    </w:p>
    <w:p>
      <w:pPr>
        <w:spacing w:after="0"/>
      </w:pPr>
      <w:r>
        <w:rPr>
          <w:rFonts w:ascii="Courier New" w:cs="Courier New" w:eastAsia="Courier New" w:hAnsi="Courier New"/>
          <w:color w:val="151A2D"/>
          <w:sz w:val="16"/>
          <w:szCs w:val="16"/>
        </w:rPr>
        <w:t xml:space="preserve">|  THE PRODUCT, END TO END            (title TL)   |</w:t>
      </w:r>
    </w:p>
    <w:p>
      <w:pPr>
        <w:spacing w:after="0"/>
      </w:pPr>
      <w:r>
        <w:rPr>
          <w:rFonts w:ascii="Courier New" w:cs="Courier New" w:eastAsia="Courier New" w:hAnsi="Courier New"/>
          <w:color w:val="151A2D"/>
          <w:sz w:val="16"/>
          <w:szCs w:val="16"/>
        </w:rPr>
        <w:t xml:space="preserve">|   +------------------------------+   Intake &gt;    |</w:t>
      </w:r>
    </w:p>
    <w:p>
      <w:pPr>
        <w:spacing w:after="0"/>
      </w:pPr>
      <w:r>
        <w:rPr>
          <w:rFonts w:ascii="Courier New" w:cs="Courier New" w:eastAsia="Courier New" w:hAnsi="Courier New"/>
          <w:color w:val="151A2D"/>
          <w:sz w:val="16"/>
          <w:szCs w:val="16"/>
        </w:rPr>
        <w:t xml:space="preserve">|   |                              |   Dashboard &gt; |</w:t>
      </w:r>
    </w:p>
    <w:p>
      <w:pPr>
        <w:spacing w:after="0"/>
      </w:pPr>
      <w:r>
        <w:rPr>
          <w:rFonts w:ascii="Courier New" w:cs="Courier New" w:eastAsia="Courier New" w:hAnsi="Courier New"/>
          <w:color w:val="151A2D"/>
          <w:sz w:val="16"/>
          <w:szCs w:val="16"/>
        </w:rPr>
        <w:t xml:space="preserve">|   |    [ screen recording ]      |   Workspace &gt; |</w:t>
      </w:r>
    </w:p>
    <w:p>
      <w:pPr>
        <w:spacing w:after="0"/>
      </w:pPr>
      <w:r>
        <w:rPr>
          <w:rFonts w:ascii="Courier New" w:cs="Courier New" w:eastAsia="Courier New" w:hAnsi="Courier New"/>
          <w:color w:val="151A2D"/>
          <w:sz w:val="16"/>
          <w:szCs w:val="16"/>
        </w:rPr>
        <w:t xml:space="preserve">|   |                              |   Review &gt;    |</w:t>
      </w:r>
    </w:p>
    <w:p>
      <w:pPr>
        <w:spacing w:after="0"/>
      </w:pPr>
      <w:r>
        <w:rPr>
          <w:rFonts w:ascii="Courier New" w:cs="Courier New" w:eastAsia="Courier New" w:hAnsi="Courier New"/>
          <w:color w:val="151A2D"/>
          <w:sz w:val="16"/>
          <w:szCs w:val="16"/>
        </w:rPr>
        <w:t xml:space="preserve">|   +------------------------------+   Report      |</w:t>
      </w:r>
    </w:p>
    <w:p>
      <w:pPr>
        <w:spacing w:after="0"/>
      </w:pPr>
      <w:r>
        <w:rPr>
          <w:rFonts w:ascii="Courier New" w:cs="Courier New" w:eastAsia="Courier New" w:hAnsi="Courier New"/>
          <w:color w:val="151A2D"/>
          <w:sz w:val="16"/>
          <w:szCs w:val="16"/>
        </w:rPr>
        <w:t xml:space="preserve">+--------------------------------------------------+</w:t>
      </w:r>
    </w:p>
    <w:p>
      <w:r>
        <w:t xml:space="preserve"/>
      </w:r>
    </w:p>
    <w:p>
      <w:r>
        <w:br w:type="page"/>
      </w:r>
    </w:p>
    <w:p>
      <w:pPr>
        <w:pStyle w:val="Heading1"/>
      </w:pPr>
      <w:r>
        <w:t xml:space="preserve">6. Narration Script</w:t>
      </w:r>
    </w:p>
    <w:p>
      <w:pPr>
        <w:spacing w:after="120"/>
      </w:pPr>
      <w:r>
        <w:t xml:space="preserve">The full, timed presenter script ships as a standalone file — Skeptic_Engine_Narration_Script.docx — with per-scene delivery cues (pauses, emphasis, audience-engagement moments). The narration beats are also embedded in each scene block in Section 3 and in the .pptx speaker notes. Delivery principles:</w:t>
      </w:r>
    </w:p>
    <w:p>
      <w:pPr>
        <w:pStyle w:val="ListParagraph"/>
        <w:numPr>
          <w:ilvl w:val="0"/>
          <w:numId w:val="2"/>
        </w:numPr>
        <w:spacing w:after="60"/>
      </w:pPr>
      <w:r>
        <w:rPr>
          <w:b/>
          <w:bCs/>
        </w:rPr>
        <w:t xml:space="preserve">Cold open in near-silence. </w:t>
      </w:r>
      <w:r>
        <w:t xml:space="preserve">Let the first line breathe — two full seconds before the next.</w:t>
      </w:r>
    </w:p>
    <w:p>
      <w:pPr>
        <w:pStyle w:val="ListParagraph"/>
        <w:numPr>
          <w:ilvl w:val="0"/>
          <w:numId w:val="2"/>
        </w:numPr>
        <w:spacing w:after="60"/>
      </w:pPr>
      <w:r>
        <w:rPr>
          <w:b/>
          <w:bCs/>
        </w:rPr>
        <w:t xml:space="preserve">One idea per scene. </w:t>
      </w:r>
      <w:r>
        <w:t xml:space="preserve">If a sentence introduces a second concept, it belongs on the next slide.</w:t>
      </w:r>
    </w:p>
    <w:p>
      <w:pPr>
        <w:pStyle w:val="ListParagraph"/>
        <w:numPr>
          <w:ilvl w:val="0"/>
          <w:numId w:val="2"/>
        </w:numPr>
        <w:spacing w:after="60"/>
      </w:pPr>
      <w:r>
        <w:rPr>
          <w:b/>
          <w:bCs/>
        </w:rPr>
        <w:t xml:space="preserve">Land the debate (Scene 06) slowly. </w:t>
      </w:r>
      <w:r>
        <w:t xml:space="preserve">This is the memorable beat; do not rush the gavel.</w:t>
      </w:r>
    </w:p>
    <w:p>
      <w:pPr>
        <w:pStyle w:val="ListParagraph"/>
        <w:numPr>
          <w:ilvl w:val="0"/>
          <w:numId w:val="2"/>
        </w:numPr>
        <w:spacing w:after="60"/>
      </w:pPr>
      <w:r>
        <w:rPr>
          <w:b/>
          <w:bCs/>
        </w:rPr>
        <w:t xml:space="preserve">Use the audience twice. </w:t>
      </w:r>
      <w:r>
        <w:t xml:space="preserve">After Scene 03 ask ‘sound familiar?’; after Scene 06 ask ‘have you seen AI argue with itself before?’</w:t>
      </w:r>
    </w:p>
    <w:p>
      <w:pPr>
        <w:pStyle w:val="ListParagraph"/>
        <w:numPr>
          <w:ilvl w:val="0"/>
          <w:numId w:val="2"/>
        </w:numPr>
        <w:spacing w:after="60"/>
      </w:pPr>
      <w:r>
        <w:rPr>
          <w:b/>
          <w:bCs/>
        </w:rPr>
        <w:t xml:space="preserve">Close with a question, not a thank-you. </w:t>
      </w:r>
      <w:r>
        <w:t xml:space="preserve">‘Where should we start?’ invites the next conversation.</w:t>
      </w:r>
    </w:p>
    <w:p>
      <w:r>
        <w:br w:type="page"/>
      </w:r>
    </w:p>
    <w:p>
      <w:pPr>
        <w:pStyle w:val="Heading1"/>
      </w:pPr>
      <w:r>
        <w:t xml:space="preserve">7. Animation Plan</w:t>
      </w:r>
    </w:p>
    <w:p>
      <w:pPr>
        <w:spacing w:after="120"/>
      </w:pPr>
      <w:r>
        <w:t xml:space="preserve">Motion vocabulary for the whole deck. Keep it disciplined: two easings, three durations, one signature transition.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Easing</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Standard ease-out cubic (0.16, 1, 0.3, 1) for entrances; ease-in-out for the confidence meter and camera pushes.</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Durations</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Fast 200ms (chips, hovers) · Base 400ms (cards, reveals) · Slow 800ms–1.5s (hero/logo/particles).</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Stagger</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120ms between sibling elements (cards, agents, stat numbers).</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Signature transition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Dark→light ‘day-break wipe’ at the Problem→Vision pivot (Scene 03→04); reuse a soft version elsewhere.</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Count-ups</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Stat numbers roll 0→value over 1.2s ease-out; never instant.</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Camera</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Slow push-in (100→104%) on emotional beats; left-to-right track on the pipeline.</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Restraint rule</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Max one ‘hero’ animation per slide; everything else is a quiet fade or rise. No spins, bounces, or fly-ins from off-canvas except Scene 02 cards.</w:t>
            </w:r>
          </w:p>
        </w:tc>
      </w:tr>
    </w:tbl>
    <w:p>
      <w:pPr>
        <w:pStyle w:val="Heading3"/>
      </w:pPr>
      <w:r>
        <w:t xml:space="preserve">Per-scene signature move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8DFEC" w:sz="1"/>
              <w:left w:val="single" w:color="D8DFEC" w:sz="1"/>
              <w:bottom w:val="single" w:color="D8DFEC" w:sz="1"/>
              <w:right w:val="single" w:color="D8DFEC" w:sz="1"/>
            </w:tcBorders>
            <w:shd w:fill="0B1220" w:val="clear"/>
            <w:tcMar>
              <w:top w:type="dxa" w:w="60"/>
              <w:left w:type="dxa" w:w="110"/>
              <w:bottom w:type="dxa" w:w="60"/>
              <w:right w:type="dxa" w:w="110"/>
            </w:tcMar>
          </w:tcPr>
          <w:p>
            <w:pPr>
              <w:jc w:val="left"/>
            </w:pPr>
            <w:r>
              <w:rPr>
                <w:b/>
                <w:bCs/>
                <w:color w:val="FFFFFF"/>
                <w:sz w:val="18"/>
                <w:szCs w:val="18"/>
              </w:rPr>
              <w:t xml:space="preserve">Scene</w:t>
            </w:r>
          </w:p>
        </w:tc>
        <w:tc>
          <w:tcPr>
            <w:tcW w:type="dxa" w:w="7960"/>
            <w:tcBorders>
              <w:top w:val="single" w:color="D8DFEC" w:sz="1"/>
              <w:left w:val="single" w:color="D8DFEC" w:sz="1"/>
              <w:bottom w:val="single" w:color="D8DFEC" w:sz="1"/>
              <w:right w:val="single" w:color="D8DFEC" w:sz="1"/>
            </w:tcBorders>
            <w:shd w:fill="0B1220" w:val="clear"/>
            <w:tcMar>
              <w:top w:type="dxa" w:w="60"/>
              <w:left w:type="dxa" w:w="110"/>
              <w:bottom w:type="dxa" w:w="60"/>
              <w:right w:type="dxa" w:w="110"/>
            </w:tcMar>
          </w:tcPr>
          <w:p>
            <w:pPr>
              <w:jc w:val="left"/>
            </w:pPr>
            <w:r>
              <w:rPr>
                <w:b/>
                <w:bCs/>
                <w:color w:val="FFFFFF"/>
                <w:sz w:val="18"/>
                <w:szCs w:val="18"/>
              </w:rPr>
              <w:t xml:space="preserve">Signature motion</w:t>
            </w:r>
          </w:p>
        </w:tc>
      </w:tr>
      <w:tr>
        <w:tc>
          <w:tcPr>
            <w:tcW w:type="dxa" w:w="14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01</w:t>
            </w:r>
          </w:p>
        </w:tc>
        <w:tc>
          <w:tcPr>
            <w:tcW w:type="dxa" w:w="7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Upward particle drift; title blur-to-focus.</w:t>
            </w:r>
          </w:p>
        </w:tc>
      </w:tr>
      <w:tr>
        <w:tc>
          <w:tcPr>
            <w:tcW w:type="dxa" w:w="14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02</w:t>
            </w:r>
          </w:p>
        </w:tc>
        <w:tc>
          <w:tcPr>
            <w:tcW w:type="dxa" w:w="7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Staggered card slide-in; iceberg underwater mass fades up last.</w:t>
            </w:r>
          </w:p>
        </w:tc>
      </w:tr>
      <w:tr>
        <w:tc>
          <w:tcPr>
            <w:tcW w:type="dxa" w:w="14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03</w:t>
            </w:r>
          </w:p>
        </w:tc>
        <w:tc>
          <w:tcPr>
            <w:tcW w:type="dxa" w:w="7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Odometer count-ups on three stats.</w:t>
            </w:r>
          </w:p>
        </w:tc>
      </w:tr>
      <w:tr>
        <w:tc>
          <w:tcPr>
            <w:tcW w:type="dxa" w:w="14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04</w:t>
            </w:r>
          </w:p>
        </w:tc>
        <w:tc>
          <w:tcPr>
            <w:tcW w:type="dxa" w:w="7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Particles converge into the wordmark; day-break wipe.</w:t>
            </w:r>
          </w:p>
        </w:tc>
      </w:tr>
      <w:tr>
        <w:tc>
          <w:tcPr>
            <w:tcW w:type="dxa" w:w="14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05</w:t>
            </w:r>
          </w:p>
        </w:tc>
        <w:tc>
          <w:tcPr>
            <w:tcW w:type="dxa" w:w="7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Sequential agent reveal with connecting lines drawing to the case node.</w:t>
            </w:r>
          </w:p>
        </w:tc>
      </w:tr>
      <w:tr>
        <w:tc>
          <w:tcPr>
            <w:tcW w:type="dxa" w:w="14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06</w:t>
            </w:r>
          </w:p>
        </w:tc>
        <w:tc>
          <w:tcPr>
            <w:tcW w:type="dxa" w:w="7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Typed arguments + physics-based confidence needle + gavel impact ripple.</w:t>
            </w:r>
          </w:p>
        </w:tc>
      </w:tr>
      <w:tr>
        <w:tc>
          <w:tcPr>
            <w:tcW w:type="dxa" w:w="14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07</w:t>
            </w:r>
          </w:p>
        </w:tc>
        <w:tc>
          <w:tcPr>
            <w:tcW w:type="dxa" w:w="7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Citation threads draw claim→source; rejected claim shakes and greys.</w:t>
            </w:r>
          </w:p>
        </w:tc>
      </w:tr>
      <w:tr>
        <w:tc>
          <w:tcPr>
            <w:tcW w:type="dxa" w:w="14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08</w:t>
            </w:r>
          </w:p>
        </w:tc>
        <w:tc>
          <w:tcPr>
            <w:tcW w:type="dxa" w:w="7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Case token travels the pipe and switches lanes by threshold.</w:t>
            </w:r>
          </w:p>
        </w:tc>
      </w:tr>
      <w:tr>
        <w:tc>
          <w:tcPr>
            <w:tcW w:type="dxa" w:w="14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09</w:t>
            </w:r>
          </w:p>
        </w:tc>
        <w:tc>
          <w:tcPr>
            <w:tcW w:type="dxa" w:w="7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Blocks drop and lock into a chain; tamper crack then heal.</w:t>
            </w:r>
          </w:p>
        </w:tc>
      </w:tr>
      <w:tr>
        <w:tc>
          <w:tcPr>
            <w:tcW w:type="dxa" w:w="14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10</w:t>
            </w:r>
          </w:p>
        </w:tc>
        <w:tc>
          <w:tcPr>
            <w:tcW w:type="dxa" w:w="7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Cross-dissolve screen montage with highlight ring on the described element.</w:t>
            </w:r>
          </w:p>
        </w:tc>
      </w:tr>
      <w:tr>
        <w:tc>
          <w:tcPr>
            <w:tcW w:type="dxa" w:w="14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11</w:t>
            </w:r>
          </w:p>
        </w:tc>
        <w:tc>
          <w:tcPr>
            <w:tcW w:type="dxa" w:w="7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Token rides the conveyor; infra icons pulse in sync.</w:t>
            </w:r>
          </w:p>
        </w:tc>
      </w:tr>
      <w:tr>
        <w:tc>
          <w:tcPr>
            <w:tcW w:type="dxa" w:w="14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12</w:t>
            </w:r>
          </w:p>
        </w:tc>
        <w:tc>
          <w:tcPr>
            <w:tcW w:type="dxa" w:w="7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Donuts fill (5%→100%); four stat cards count up.</w:t>
            </w:r>
          </w:p>
        </w:tc>
      </w:tr>
      <w:tr>
        <w:tc>
          <w:tcPr>
            <w:tcW w:type="dxa" w:w="14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13</w:t>
            </w:r>
          </w:p>
        </w:tc>
        <w:tc>
          <w:tcPr>
            <w:tcW w:type="dxa" w:w="7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Milestones illuminate toward a vanishing point; forward dolly.</w:t>
            </w:r>
          </w:p>
        </w:tc>
      </w:tr>
      <w:tr>
        <w:tc>
          <w:tcPr>
            <w:tcW w:type="dxa" w:w="14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14</w:t>
            </w:r>
          </w:p>
        </w:tc>
        <w:tc>
          <w:tcPr>
            <w:tcW w:type="dxa" w:w="7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Particles settle into a calm constellation; CTA pulses once.</w:t>
            </w:r>
          </w:p>
        </w:tc>
      </w:tr>
    </w:tbl>
    <w:p>
      <w:r>
        <w:br w:type="page"/>
      </w:r>
    </w:p>
    <w:p>
      <w:pPr>
        <w:pStyle w:val="Heading1"/>
      </w:pPr>
      <w:r>
        <w:t xml:space="preserve">8. Visual Asset Checklist</w:t>
      </w:r>
    </w:p>
    <w:p>
      <w:pPr>
        <w:spacing w:after="120"/>
      </w:pPr>
      <w:r>
        <w:t xml:space="preserve">Everything to gather or generate before the build. ‘Gen’ = AI-generated (see prompt library, Section 15); ‘Cap’ = captured from the product; ‘Icon’ = icon library; ‘Build’ = assemble in Canva.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4760"/>
      </w:tblGrid>
      <w:tr>
        <w:tc>
          <w:tcPr>
            <w:tcW w:type="dxa" w:w="3400"/>
            <w:tcBorders>
              <w:top w:val="single" w:color="D8DFEC" w:sz="1"/>
              <w:left w:val="single" w:color="D8DFEC" w:sz="1"/>
              <w:bottom w:val="single" w:color="D8DFEC" w:sz="1"/>
              <w:right w:val="single" w:color="D8DFEC" w:sz="1"/>
            </w:tcBorders>
            <w:shd w:fill="0B1220" w:val="clear"/>
            <w:tcMar>
              <w:top w:type="dxa" w:w="60"/>
              <w:left w:type="dxa" w:w="110"/>
              <w:bottom w:type="dxa" w:w="60"/>
              <w:right w:type="dxa" w:w="110"/>
            </w:tcMar>
          </w:tcPr>
          <w:p>
            <w:pPr>
              <w:jc w:val="left"/>
            </w:pPr>
            <w:r>
              <w:rPr>
                <w:b/>
                <w:bCs/>
                <w:color w:val="FFFFFF"/>
                <w:sz w:val="18"/>
                <w:szCs w:val="18"/>
              </w:rPr>
              <w:t xml:space="preserve">Asset</w:t>
            </w:r>
          </w:p>
        </w:tc>
        <w:tc>
          <w:tcPr>
            <w:tcW w:type="dxa" w:w="1200"/>
            <w:tcBorders>
              <w:top w:val="single" w:color="D8DFEC" w:sz="1"/>
              <w:left w:val="single" w:color="D8DFEC" w:sz="1"/>
              <w:bottom w:val="single" w:color="D8DFEC" w:sz="1"/>
              <w:right w:val="single" w:color="D8DFEC" w:sz="1"/>
            </w:tcBorders>
            <w:shd w:fill="0B1220" w:val="clear"/>
            <w:tcMar>
              <w:top w:type="dxa" w:w="60"/>
              <w:left w:type="dxa" w:w="110"/>
              <w:bottom w:type="dxa" w:w="60"/>
              <w:right w:type="dxa" w:w="110"/>
            </w:tcMar>
          </w:tcPr>
          <w:p>
            <w:pPr>
              <w:jc w:val="left"/>
            </w:pPr>
            <w:r>
              <w:rPr>
                <w:b/>
                <w:bCs/>
                <w:color w:val="FFFFFF"/>
                <w:sz w:val="18"/>
                <w:szCs w:val="18"/>
              </w:rPr>
              <w:t xml:space="preserve">Source</w:t>
            </w:r>
          </w:p>
        </w:tc>
        <w:tc>
          <w:tcPr>
            <w:tcW w:type="dxa" w:w="4760"/>
            <w:tcBorders>
              <w:top w:val="single" w:color="D8DFEC" w:sz="1"/>
              <w:left w:val="single" w:color="D8DFEC" w:sz="1"/>
              <w:bottom w:val="single" w:color="D8DFEC" w:sz="1"/>
              <w:right w:val="single" w:color="D8DFEC" w:sz="1"/>
            </w:tcBorders>
            <w:shd w:fill="0B1220" w:val="clear"/>
            <w:tcMar>
              <w:top w:type="dxa" w:w="60"/>
              <w:left w:type="dxa" w:w="110"/>
              <w:bottom w:type="dxa" w:w="60"/>
              <w:right w:type="dxa" w:w="110"/>
            </w:tcMar>
          </w:tcPr>
          <w:p>
            <w:pPr>
              <w:jc w:val="left"/>
            </w:pPr>
            <w:r>
              <w:rPr>
                <w:b/>
                <w:bCs/>
                <w:color w:val="FFFFFF"/>
                <w:sz w:val="18"/>
                <w:szCs w:val="18"/>
              </w:rPr>
              <w:t xml:space="preserve">Notes</w:t>
            </w:r>
          </w:p>
        </w:tc>
      </w:tr>
      <w:tr>
        <w:tc>
          <w:tcPr>
            <w:tcW w:type="dxa" w:w="34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Logo mark + wordmark (SVG, light/dark)</w:t>
            </w:r>
          </w:p>
        </w:tc>
        <w:tc>
          <w:tcPr>
            <w:tcW w:type="dxa" w:w="12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center"/>
            </w:pPr>
            <w:r>
              <w:rPr>
                <w:color w:val="151A2D"/>
                <w:sz w:val="18"/>
                <w:szCs w:val="18"/>
              </w:rPr>
              <w:t xml:space="preserve">Have</w:t>
            </w:r>
          </w:p>
        </w:tc>
        <w:tc>
          <w:tcPr>
            <w:tcW w:type="dxa" w:w="47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Use existing brand; ensure transparent PNG + SVG.</w:t>
            </w:r>
          </w:p>
        </w:tc>
      </w:tr>
      <w:tr>
        <w:tc>
          <w:tcPr>
            <w:tcW w:type="dxa" w:w="34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Particle field background (dark)</w:t>
            </w:r>
          </w:p>
        </w:tc>
        <w:tc>
          <w:tcPr>
            <w:tcW w:type="dxa" w:w="12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center"/>
            </w:pPr>
            <w:r>
              <w:rPr>
                <w:color w:val="151A2D"/>
                <w:sz w:val="18"/>
                <w:szCs w:val="18"/>
              </w:rPr>
              <w:t xml:space="preserve">Gen</w:t>
            </w:r>
          </w:p>
        </w:tc>
        <w:tc>
          <w:tcPr>
            <w:tcW w:type="dxa" w:w="47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Looping abstract data-embers; used Scenes 01/14.</w:t>
            </w:r>
          </w:p>
        </w:tc>
      </w:tr>
      <w:tr>
        <w:tc>
          <w:tcPr>
            <w:tcW w:type="dxa" w:w="34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Iceberg metaphor illustration</w:t>
            </w:r>
          </w:p>
        </w:tc>
        <w:tc>
          <w:tcPr>
            <w:tcW w:type="dxa" w:w="12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center"/>
            </w:pPr>
            <w:r>
              <w:rPr>
                <w:color w:val="151A2D"/>
                <w:sz w:val="18"/>
                <w:szCs w:val="18"/>
              </w:rPr>
              <w:t xml:space="preserve">Gen</w:t>
            </w:r>
          </w:p>
        </w:tc>
        <w:tc>
          <w:tcPr>
            <w:tcW w:type="dxa" w:w="47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Tip-of-iceberg, moody, brand blue water.</w:t>
            </w:r>
          </w:p>
        </w:tc>
      </w:tr>
      <w:tr>
        <w:tc>
          <w:tcPr>
            <w:tcW w:type="dxa" w:w="34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6 agent avatars/icons</w:t>
            </w:r>
          </w:p>
        </w:tc>
        <w:tc>
          <w:tcPr>
            <w:tcW w:type="dxa" w:w="12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center"/>
            </w:pPr>
            <w:r>
              <w:rPr>
                <w:color w:val="151A2D"/>
                <w:sz w:val="18"/>
                <w:szCs w:val="18"/>
              </w:rPr>
              <w:t xml:space="preserve">Gen/Icon</w:t>
            </w:r>
          </w:p>
        </w:tc>
        <w:tc>
          <w:tcPr>
            <w:tcW w:type="dxa" w:w="47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Supervisor, Evidence, Challenger(red), Defender(green), Adjudicator(gavel), Verifier(check).</w:t>
            </w:r>
          </w:p>
        </w:tc>
      </w:tr>
      <w:tr>
        <w:tc>
          <w:tcPr>
            <w:tcW w:type="dxa" w:w="34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Crew orbit diagram</w:t>
            </w:r>
          </w:p>
        </w:tc>
        <w:tc>
          <w:tcPr>
            <w:tcW w:type="dxa" w:w="12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center"/>
            </w:pPr>
            <w:r>
              <w:rPr>
                <w:color w:val="151A2D"/>
                <w:sz w:val="18"/>
                <w:szCs w:val="18"/>
              </w:rPr>
              <w:t xml:space="preserve">Build</w:t>
            </w:r>
          </w:p>
        </w:tc>
        <w:tc>
          <w:tcPr>
            <w:tcW w:type="dxa" w:w="47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Assemble in Canva from agent icons + case node.</w:t>
            </w:r>
          </w:p>
        </w:tc>
      </w:tr>
      <w:tr>
        <w:tc>
          <w:tcPr>
            <w:tcW w:type="dxa" w:w="34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Confidence meter graphic</w:t>
            </w:r>
          </w:p>
        </w:tc>
        <w:tc>
          <w:tcPr>
            <w:tcW w:type="dxa" w:w="12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center"/>
            </w:pPr>
            <w:r>
              <w:rPr>
                <w:color w:val="151A2D"/>
                <w:sz w:val="18"/>
                <w:szCs w:val="18"/>
              </w:rPr>
              <w:t xml:space="preserve">Build</w:t>
            </w:r>
          </w:p>
        </w:tc>
        <w:tc>
          <w:tcPr>
            <w:tcW w:type="dxa" w:w="47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0–1 dial; reuse in Scenes 06 &amp; 08.</w:t>
            </w:r>
          </w:p>
        </w:tc>
      </w:tr>
      <w:tr>
        <w:tc>
          <w:tcPr>
            <w:tcW w:type="dxa" w:w="34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Evidence file + citation threads</w:t>
            </w:r>
          </w:p>
        </w:tc>
        <w:tc>
          <w:tcPr>
            <w:tcW w:type="dxa" w:w="12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center"/>
            </w:pPr>
            <w:r>
              <w:rPr>
                <w:color w:val="151A2D"/>
                <w:sz w:val="18"/>
                <w:szCs w:val="18"/>
              </w:rPr>
              <w:t xml:space="preserve">Build</w:t>
            </w:r>
          </w:p>
        </w:tc>
        <w:tc>
          <w:tcPr>
            <w:tcW w:type="dxa" w:w="47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Two-column with connector lines.</w:t>
            </w:r>
          </w:p>
        </w:tc>
      </w:tr>
      <w:tr>
        <w:tc>
          <w:tcPr>
            <w:tcW w:type="dxa" w:w="34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3-lane gate diagram</w:t>
            </w:r>
          </w:p>
        </w:tc>
        <w:tc>
          <w:tcPr>
            <w:tcW w:type="dxa" w:w="12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center"/>
            </w:pPr>
            <w:r>
              <w:rPr>
                <w:color w:val="151A2D"/>
                <w:sz w:val="18"/>
                <w:szCs w:val="18"/>
              </w:rPr>
              <w:t xml:space="preserve">Build</w:t>
            </w:r>
          </w:p>
        </w:tc>
        <w:tc>
          <w:tcPr>
            <w:tcW w:type="dxa" w:w="47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Emerald/amber/red lanes.</w:t>
            </w:r>
          </w:p>
        </w:tc>
      </w:tr>
      <w:tr>
        <w:tc>
          <w:tcPr>
            <w:tcW w:type="dxa" w:w="34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Hash-chain blocks</w:t>
            </w:r>
          </w:p>
        </w:tc>
        <w:tc>
          <w:tcPr>
            <w:tcW w:type="dxa" w:w="12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center"/>
            </w:pPr>
            <w:r>
              <w:rPr>
                <w:color w:val="151A2D"/>
                <w:sz w:val="18"/>
                <w:szCs w:val="18"/>
              </w:rPr>
              <w:t xml:space="preserve">Gen/Build</w:t>
            </w:r>
          </w:p>
        </w:tc>
        <w:tc>
          <w:tcPr>
            <w:tcW w:type="dxa" w:w="47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Stacked blocks with hash labels; one red tamper state.</w:t>
            </w:r>
          </w:p>
        </w:tc>
      </w:tr>
      <w:tr>
        <w:tc>
          <w:tcPr>
            <w:tcW w:type="dxa" w:w="34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Product screen recording (MP4)</w:t>
            </w:r>
          </w:p>
        </w:tc>
        <w:tc>
          <w:tcPr>
            <w:tcW w:type="dxa" w:w="12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center"/>
            </w:pPr>
            <w:r>
              <w:rPr>
                <w:color w:val="151A2D"/>
                <w:sz w:val="18"/>
                <w:szCs w:val="18"/>
              </w:rPr>
              <w:t xml:space="preserve">Cap</w:t>
            </w:r>
          </w:p>
        </w:tc>
        <w:tc>
          <w:tcPr>
            <w:tcW w:type="dxa" w:w="47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Intake→Dashboard→Workspace→Review→Report; 20–30s.</w:t>
            </w:r>
          </w:p>
        </w:tc>
      </w:tr>
      <w:tr>
        <w:tc>
          <w:tcPr>
            <w:tcW w:type="dxa" w:w="34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Product screenshots (fallback)</w:t>
            </w:r>
          </w:p>
        </w:tc>
        <w:tc>
          <w:tcPr>
            <w:tcW w:type="dxa" w:w="12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center"/>
            </w:pPr>
            <w:r>
              <w:rPr>
                <w:color w:val="151A2D"/>
                <w:sz w:val="18"/>
                <w:szCs w:val="18"/>
              </w:rPr>
              <w:t xml:space="preserve">Cap</w:t>
            </w:r>
          </w:p>
        </w:tc>
        <w:tc>
          <w:tcPr>
            <w:tcW w:type="dxa" w:w="47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High-res PNG of each key screen for stills.</w:t>
            </w:r>
          </w:p>
        </w:tc>
      </w:tr>
      <w:tr>
        <w:tc>
          <w:tcPr>
            <w:tcW w:type="dxa" w:w="34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Device mockup frame</w:t>
            </w:r>
          </w:p>
        </w:tc>
        <w:tc>
          <w:tcPr>
            <w:tcW w:type="dxa" w:w="12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center"/>
            </w:pPr>
            <w:r>
              <w:rPr>
                <w:color w:val="151A2D"/>
                <w:sz w:val="18"/>
                <w:szCs w:val="18"/>
              </w:rPr>
              <w:t xml:space="preserve">Icon</w:t>
            </w:r>
          </w:p>
        </w:tc>
        <w:tc>
          <w:tcPr>
            <w:tcW w:type="dxa" w:w="47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Browser/laptop frame for Scene 10.</w:t>
            </w:r>
          </w:p>
        </w:tc>
      </w:tr>
      <w:tr>
        <w:tc>
          <w:tcPr>
            <w:tcW w:type="dxa" w:w="34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Pipeline conveyor + infra icons</w:t>
            </w:r>
          </w:p>
        </w:tc>
        <w:tc>
          <w:tcPr>
            <w:tcW w:type="dxa" w:w="12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center"/>
            </w:pPr>
            <w:r>
              <w:rPr>
                <w:color w:val="151A2D"/>
                <w:sz w:val="18"/>
                <w:szCs w:val="18"/>
              </w:rPr>
              <w:t xml:space="preserve">Icon</w:t>
            </w:r>
          </w:p>
        </w:tc>
        <w:tc>
          <w:tcPr>
            <w:tcW w:type="dxa" w:w="47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LangGraph, Postgres, Redis, Celery, Prometheus.</w:t>
            </w:r>
          </w:p>
        </w:tc>
      </w:tr>
      <w:tr>
        <w:tc>
          <w:tcPr>
            <w:tcW w:type="dxa" w:w="34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Before/After donut charts</w:t>
            </w:r>
          </w:p>
        </w:tc>
        <w:tc>
          <w:tcPr>
            <w:tcW w:type="dxa" w:w="12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center"/>
            </w:pPr>
            <w:r>
              <w:rPr>
                <w:color w:val="151A2D"/>
                <w:sz w:val="18"/>
                <w:szCs w:val="18"/>
              </w:rPr>
              <w:t xml:space="preserve">Build</w:t>
            </w:r>
          </w:p>
        </w:tc>
        <w:tc>
          <w:tcPr>
            <w:tcW w:type="dxa" w:w="47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5% vs 100% coverage.</w:t>
            </w:r>
          </w:p>
        </w:tc>
      </w:tr>
      <w:tr>
        <w:tc>
          <w:tcPr>
            <w:tcW w:type="dxa" w:w="34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4 impact stat cards</w:t>
            </w:r>
          </w:p>
        </w:tc>
        <w:tc>
          <w:tcPr>
            <w:tcW w:type="dxa" w:w="12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center"/>
            </w:pPr>
            <w:r>
              <w:rPr>
                <w:color w:val="151A2D"/>
                <w:sz w:val="18"/>
                <w:szCs w:val="18"/>
              </w:rPr>
              <w:t xml:space="preserve">Build</w:t>
            </w:r>
          </w:p>
        </w:tc>
        <w:tc>
          <w:tcPr>
            <w:tcW w:type="dxa" w:w="47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Coverage, time, audit-ready, consistency.</w:t>
            </w:r>
          </w:p>
        </w:tc>
      </w:tr>
      <w:tr>
        <w:tc>
          <w:tcPr>
            <w:tcW w:type="dxa" w:w="34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Horizon timeline (roadmap)</w:t>
            </w:r>
          </w:p>
        </w:tc>
        <w:tc>
          <w:tcPr>
            <w:tcW w:type="dxa" w:w="12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center"/>
            </w:pPr>
            <w:r>
              <w:rPr>
                <w:color w:val="151A2D"/>
                <w:sz w:val="18"/>
                <w:szCs w:val="18"/>
              </w:rPr>
              <w:t xml:space="preserve">Build</w:t>
            </w:r>
          </w:p>
        </w:tc>
        <w:tc>
          <w:tcPr>
            <w:tcW w:type="dxa" w:w="47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5 milestone nodes to vanishing point.</w:t>
            </w:r>
          </w:p>
        </w:tc>
      </w:tr>
      <w:tr>
        <w:tc>
          <w:tcPr>
            <w:tcW w:type="dxa" w:w="34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CTA button + contact block</w:t>
            </w:r>
          </w:p>
        </w:tc>
        <w:tc>
          <w:tcPr>
            <w:tcW w:type="dxa" w:w="12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center"/>
            </w:pPr>
            <w:r>
              <w:rPr>
                <w:color w:val="151A2D"/>
                <w:sz w:val="18"/>
                <w:szCs w:val="18"/>
              </w:rPr>
              <w:t xml:space="preserve">Build</w:t>
            </w:r>
          </w:p>
        </w:tc>
        <w:tc>
          <w:tcPr>
            <w:tcW w:type="dxa" w:w="47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Primary blue button, URL, email.</w:t>
            </w:r>
          </w:p>
        </w:tc>
      </w:tr>
      <w:tr>
        <w:tc>
          <w:tcPr>
            <w:tcW w:type="dxa" w:w="34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Background music bed (2–3 min)</w:t>
            </w:r>
          </w:p>
        </w:tc>
        <w:tc>
          <w:tcPr>
            <w:tcW w:type="dxa" w:w="12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center"/>
            </w:pPr>
            <w:r>
              <w:rPr>
                <w:color w:val="151A2D"/>
                <w:sz w:val="18"/>
                <w:szCs w:val="18"/>
              </w:rPr>
              <w:t xml:space="preserve">Gen</w:t>
            </w:r>
          </w:p>
        </w:tc>
        <w:tc>
          <w:tcPr>
            <w:tcW w:type="dxa" w:w="47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Cinematic, builds then resolves; see Section 15.</w:t>
            </w:r>
          </w:p>
        </w:tc>
      </w:tr>
      <w:tr>
        <w:tc>
          <w:tcPr>
            <w:tcW w:type="dxa" w:w="34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VO track (optional)</w:t>
            </w:r>
          </w:p>
        </w:tc>
        <w:tc>
          <w:tcPr>
            <w:tcW w:type="dxa" w:w="12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center"/>
            </w:pPr>
            <w:r>
              <w:rPr>
                <w:color w:val="151A2D"/>
                <w:sz w:val="18"/>
                <w:szCs w:val="18"/>
              </w:rPr>
              <w:t xml:space="preserve">Gen</w:t>
            </w:r>
          </w:p>
        </w:tc>
        <w:tc>
          <w:tcPr>
            <w:tcW w:type="dxa" w:w="47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If not presenting live; AI voice-over of the script.</w:t>
            </w:r>
          </w:p>
        </w:tc>
      </w:tr>
    </w:tbl>
    <w:p>
      <w:r>
        <w:br w:type="page"/>
      </w:r>
    </w:p>
    <w:p>
      <w:pPr>
        <w:pStyle w:val="Heading1"/>
      </w:pPr>
      <w:r>
        <w:t xml:space="preserve">9. Kiro Implementation Guide</w:t>
      </w:r>
    </w:p>
    <w:p>
      <w:pPr>
        <w:spacing w:after="120"/>
      </w:pPr>
      <w:r>
        <w:t xml:space="preserve">For rebuilding the storyboard’s interactive and animated moments as real, production-grade UI with Kiro (spec-driven, agent-assisted development). The product is already Next.js 15 / React 19 / Tailwind, so components should slot into the existing design system. For each hero moment: the Kiro capability to use, a suggested prompt, component hierarchy, layout, states, motion, responsive and a11y notes, and the design tokens to reuse.</w:t>
      </w:r>
    </w:p>
    <w:p>
      <w:pPr>
        <w:pStyle w:val="Heading3"/>
      </w:pPr>
      <w:r>
        <w:t xml:space="preserve">9.1 Debate viewer (Scene 06)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Kiro capability</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Spec-to-component generation + Framer Motion scaffolding. Write a Kiro spec describing the debate transcript UI, let Kiro generate the React component and motion, then refine.</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Suggested prompt</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“Generate a React + Tailwind DebateViewer that shows Challenger (left, danger theme) and Defender (right, success theme) messages streaming in alternately, an animated confidence meter (0–1) between them driven by a `confidence` prop, and an Adjudicator verdict card that reveals last. Use Framer Motion for staggered entrance and a spring on the meter. Consume our design tokens.”</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Component hierarchy</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DebateViewer &gt; DebateColumn(role) &gt; DebateMessage; ConfidenceMeter; VerdictCard</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Layout spec</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CSS grid 2 columns (1fr auto 1fr) on desktop; meter spans center. 24px gutter, 16px message spacing.</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Interaction states</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streaming, idle, round-1, round-2, adjudicated, error. Message: pending / typed / cited.</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Motion behavior</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Messages: y+12→0, opacity 0→1, 400ms ease-out, 120ms stagger. Meter: spring (stiffness 120, damping 18). Verdict: scale 0.96→1 + gavel ripple.</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Responsive</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Stack columns vertically &lt; 768px; meter becomes a horizontal bar above the verdict.</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Accessibility</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aria-live=‘polite’ on the transcript; role=‘log’; meter has aria-valuenow/min/max; respect prefers-reduced-motion (cross-fade instead of stream).</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Reusable tokens</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--danger, --success, --primary, --radius, shadow.card, font Inter / mono for scores.</w:t>
            </w:r>
          </w:p>
        </w:tc>
      </w:tr>
    </w:tbl>
    <w:p>
      <w:r>
        <w:t xml:space="preserve"/>
      </w:r>
    </w:p>
    <w:p>
      <w:pPr>
        <w:pStyle w:val="Heading3"/>
      </w:pPr>
      <w:r>
        <w:t xml:space="preserve">9.2 Agent crew diagram (Scene 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Kiro capability</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Component generation + React Flow (already a dependency). Kiro can scaffold a React Flow graph from a spec.</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Suggested prompt</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“Build an AgentCrew React Flow diagram: one central Case node with six satellite AgentNodes (supervisor, evidence, challenger, defender, adjudicator, verifier). Animate edges drawing on mount in narration order. Each node uses our card style with an icon slot and role caption. Expose an `activeAgent` prop to highlight one.”</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Component hierarchy</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AgentCrew &gt; ReactFlow &gt; [CaseNode, AgentNode×6, AnimatedEdge×6]</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Layout spec</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Radial layout, 6 nodes at 60° spacing around center; 320px radius on desktop.</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Interaction states</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default, active (highlighted), running (pulse), done (check), failed (danger).</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Motion behavior</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Edges: strokeDashoffset draw 600ms; node highlight: box-shadow ring + 1.03 scale.</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Responsive</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Collapse to a 2×3 grid list &lt; 768px (drop React Flow, render cards).</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Accessibility</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Provide a text alternative list of agents + roles; nodes are focusable buttons with aria-label.</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Reusable tokens</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--primary, --danger, --success, shadow.panel, --radius.</w:t>
            </w:r>
          </w:p>
        </w:tc>
      </w:tr>
    </w:tbl>
    <w:p>
      <w:r>
        <w:t xml:space="preserve"/>
      </w:r>
    </w:p>
    <w:p>
      <w:pPr>
        <w:pStyle w:val="Heading3"/>
      </w:pPr>
      <w:r>
        <w:t xml:space="preserve">9.3 Confidence gate flow (Scene 08)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Kiro capability</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Spec-driven diagram component + SVG path animation.</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Suggested prompt</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“Create a ConfidenceGate component: a case token animates along an SVG path that branches into three lanes labeled Auto-clear (≥90%, success), Human review (70–90%, warning), Escalate (&lt;70%, danger). Given a `confidence` prop, route the token to the correct lane and pulse that lane.”</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Component hierarchy</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ConfidenceGate &gt; GateSvg &gt; [LanePath×3, CaseToken, ThresholdBand]</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Layout spec</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Single row, 3 stacked lanes on the right; token starts left-center.</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Interaction states</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routing, cleared, review, escalated.</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Motion behavior</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Token: offset-path animation 900ms ease-in-out; lane pulse on arrival.</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Responsive</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Lanes stack full-width &lt; 640px; token animates top→down.</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Accessibility</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Announce routing result via aria-live; thresholds in a visible legend, not color-only.</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Reusable tokens</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--success, --warning, --danger, mono font for thresholds.</w:t>
            </w:r>
          </w:p>
        </w:tc>
      </w:tr>
    </w:tbl>
    <w:p>
      <w:r>
        <w:t xml:space="preserve"/>
      </w:r>
    </w:p>
    <w:p>
      <w:pPr>
        <w:pStyle w:val="Heading3"/>
      </w:pPr>
      <w:r>
        <w:t xml:space="preserve">9.4 Immutable audit chain (Scene 09)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Kiro capability</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Component generation; render from the real audit log API.</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Suggested prompt</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“Build an AuditChain that renders hash-chained records as vertically linked blocks; each shows a truncated hash referencing the previous. Add a `tampered` demo mode that visually breaks the link at a given index. Virtualize for long chains.”</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Component hierarchy</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AuditChain &gt; AuditBlock &gt; [HashBadge, PrevRef, Payload]</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Layout spec</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Single column, 12px vertical connectors between blocks.</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Interaction states</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verified, tampered (broken link), loading, empty.</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Motion behavior</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Blocks drop-in 300ms; tamper: shake + connector snap.</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Responsive</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Full-width blocks; hash truncates further &lt; 480px.</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Accessibility</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role=‘list’/‘listitem’; tamper state announced, not color-only (add a broken-link icon + label).</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Reusable tokens</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--danger for tamper, mono for hashes, --radius, --border.</w:t>
            </w:r>
          </w:p>
        </w:tc>
      </w:tr>
    </w:tbl>
    <w:p>
      <w:r>
        <w:t xml:space="preserve"/>
      </w:r>
    </w:p>
    <w:p>
      <w:pPr>
        <w:pBdr>
          <w:left w:val="single" w:color="2563EB" w:sz="18" w:space="12"/>
        </w:pBdr>
        <w:spacing w:after="160" w:before="80"/>
      </w:pPr>
      <w:r>
        <w:rPr>
          <w:i/>
          <w:iCs/>
          <w:color w:val="0B1220"/>
        </w:rPr>
        <w:t xml:space="preserve">Kiro workflow tip: write one spec file per hero component describing states, props, and motion; let Kiro generate the first pass; then review against the audit report’s frontend findings (e.g. memoization keyed on stable IDs, no duplicate polling) so the generated code doesn’t reintroduce known issues.</w:t>
      </w:r>
    </w:p>
    <w:p>
      <w:r>
        <w:br w:type="page"/>
      </w:r>
    </w:p>
    <w:p>
      <w:pPr>
        <w:pStyle w:val="Heading1"/>
      </w:pPr>
      <w:r>
        <w:t xml:space="preserve">10. Brand Style Guide</w:t>
      </w:r>
    </w:p>
    <w:p>
      <w:pPr>
        <w:spacing w:after="120"/>
      </w:pPr>
      <w:r>
        <w:t xml:space="preserve">The complete brand system ships as a standalone file — Skeptic_Engine_Brand_Style_Guide.docx. Its essentials (palette, type, iconography, motion) are summarized in Sections 11–14 so this bible is self-contained.</w:t>
      </w:r>
    </w:p>
    <w:p>
      <w:r>
        <w:br w:type="page"/>
      </w:r>
    </w:p>
    <w:p>
      <w:pPr>
        <w:pStyle w:val="Heading1"/>
      </w:pPr>
      <w:r>
        <w:t xml:space="preserve">11. Color Palette</w:t>
      </w:r>
    </w:p>
    <w:p>
      <w:pPr>
        <w:spacing w:after="120"/>
      </w:pPr>
      <w:r>
        <w:t xml:space="preserve">Grounded in the product’s actual design tokens (Tailwind + CSS variables). One dominant blue, a navy ink, and semantic risk colors that double as the Challenger/Defender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3760"/>
      </w:tblGrid>
      <w:tr>
        <w:tc>
          <w:tcPr>
            <w:tcW w:type="dxa" w:w="2600"/>
            <w:tcBorders>
              <w:top w:val="single" w:color="D8DFEC" w:sz="1"/>
              <w:left w:val="single" w:color="D8DFEC" w:sz="1"/>
              <w:bottom w:val="single" w:color="D8DFEC" w:sz="1"/>
              <w:right w:val="single" w:color="D8DFEC" w:sz="1"/>
            </w:tcBorders>
            <w:shd w:fill="0B1220" w:val="clear"/>
            <w:tcMar>
              <w:top w:type="dxa" w:w="60"/>
              <w:left w:type="dxa" w:w="110"/>
              <w:bottom w:type="dxa" w:w="60"/>
              <w:right w:type="dxa" w:w="110"/>
            </w:tcMar>
          </w:tcPr>
          <w:p>
            <w:pPr>
              <w:jc w:val="left"/>
            </w:pPr>
            <w:r>
              <w:rPr>
                <w:b/>
                <w:bCs/>
                <w:color w:val="FFFFFF"/>
                <w:sz w:val="18"/>
                <w:szCs w:val="18"/>
              </w:rPr>
              <w:t xml:space="preserve">Role</w:t>
            </w:r>
          </w:p>
        </w:tc>
        <w:tc>
          <w:tcPr>
            <w:tcW w:type="dxa" w:w="1500"/>
            <w:tcBorders>
              <w:top w:val="single" w:color="D8DFEC" w:sz="1"/>
              <w:left w:val="single" w:color="D8DFEC" w:sz="1"/>
              <w:bottom w:val="single" w:color="D8DFEC" w:sz="1"/>
              <w:right w:val="single" w:color="D8DFEC" w:sz="1"/>
            </w:tcBorders>
            <w:shd w:fill="0B1220" w:val="clear"/>
            <w:tcMar>
              <w:top w:type="dxa" w:w="60"/>
              <w:left w:type="dxa" w:w="110"/>
              <w:bottom w:type="dxa" w:w="60"/>
              <w:right w:type="dxa" w:w="110"/>
            </w:tcMar>
          </w:tcPr>
          <w:p>
            <w:pPr>
              <w:jc w:val="left"/>
            </w:pPr>
            <w:r>
              <w:rPr>
                <w:b/>
                <w:bCs/>
                <w:color w:val="FFFFFF"/>
                <w:sz w:val="18"/>
                <w:szCs w:val="18"/>
              </w:rPr>
              <w:t xml:space="preserve">Hex</w:t>
            </w:r>
          </w:p>
        </w:tc>
        <w:tc>
          <w:tcPr>
            <w:tcW w:type="dxa" w:w="1500"/>
            <w:tcBorders>
              <w:top w:val="single" w:color="D8DFEC" w:sz="1"/>
              <w:left w:val="single" w:color="D8DFEC" w:sz="1"/>
              <w:bottom w:val="single" w:color="D8DFEC" w:sz="1"/>
              <w:right w:val="single" w:color="D8DFEC" w:sz="1"/>
            </w:tcBorders>
            <w:shd w:fill="0B1220" w:val="clear"/>
            <w:tcMar>
              <w:top w:type="dxa" w:w="60"/>
              <w:left w:type="dxa" w:w="110"/>
              <w:bottom w:type="dxa" w:w="60"/>
              <w:right w:type="dxa" w:w="110"/>
            </w:tcMar>
          </w:tcPr>
          <w:p>
            <w:pPr>
              <w:jc w:val="left"/>
            </w:pPr>
            <w:r>
              <w:rPr>
                <w:b/>
                <w:bCs/>
                <w:color w:val="FFFFFF"/>
                <w:sz w:val="18"/>
                <w:szCs w:val="18"/>
              </w:rPr>
              <w:t xml:space="preserve">Swatch</w:t>
            </w:r>
          </w:p>
        </w:tc>
        <w:tc>
          <w:tcPr>
            <w:tcW w:type="dxa" w:w="3760"/>
            <w:tcBorders>
              <w:top w:val="single" w:color="D8DFEC" w:sz="1"/>
              <w:left w:val="single" w:color="D8DFEC" w:sz="1"/>
              <w:bottom w:val="single" w:color="D8DFEC" w:sz="1"/>
              <w:right w:val="single" w:color="D8DFEC" w:sz="1"/>
            </w:tcBorders>
            <w:shd w:fill="0B1220" w:val="clear"/>
            <w:tcMar>
              <w:top w:type="dxa" w:w="60"/>
              <w:left w:type="dxa" w:w="110"/>
              <w:bottom w:type="dxa" w:w="60"/>
              <w:right w:type="dxa" w:w="110"/>
            </w:tcMar>
          </w:tcPr>
          <w:p>
            <w:pPr>
              <w:jc w:val="left"/>
            </w:pPr>
            <w:r>
              <w:rPr>
                <w:b/>
                <w:bCs/>
                <w:color w:val="FFFFFF"/>
                <w:sz w:val="18"/>
                <w:szCs w:val="18"/>
              </w:rPr>
              <w:t xml:space="preserve">Use</w:t>
            </w:r>
          </w:p>
        </w:tc>
      </w:tr>
      <w:tr>
        <w:tc>
          <w:tcPr>
            <w:tcW w:type="dxa" w:w="26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Skeptic Blue (primary)</w:t>
            </w:r>
          </w:p>
        </w:tc>
        <w:tc>
          <w:tcPr>
            <w:tcW w:type="dxa" w:w="15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#2563EB</w:t>
            </w:r>
          </w:p>
        </w:tc>
        <w:tc>
          <w:tcPr>
            <w:tcW w:type="dxa" w:w="1500"/>
            <w:tcBorders>
              <w:top w:val="single" w:color="D8DFEC" w:sz="1"/>
              <w:left w:val="single" w:color="D8DFEC" w:sz="1"/>
              <w:bottom w:val="single" w:color="D8DFEC" w:sz="1"/>
              <w:right w:val="single" w:color="D8DFEC" w:sz="1"/>
            </w:tcBorders>
            <w:shd w:fill="2563EB" w:val="clear"/>
            <w:tcMar>
              <w:top w:type="dxa" w:w="60"/>
              <w:left w:type="dxa" w:w="110"/>
              <w:bottom w:type="dxa" w:w="60"/>
              <w:right w:type="dxa" w:w="110"/>
            </w:tcMar>
          </w:tcPr>
          <w:p>
            <w:pPr>
              <w:jc w:val="left"/>
            </w:pPr>
            <w:r>
              <w:rPr>
                <w:color w:val="151A2D"/>
                <w:sz w:val="18"/>
                <w:szCs w:val="18"/>
              </w:rPr>
              <w:t xml:space="preserve"/>
            </w:r>
          </w:p>
        </w:tc>
        <w:tc>
          <w:tcPr>
            <w:tcW w:type="dxa" w:w="37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Brand, primary actions, links, data flow. 60–70% of accent weight.</w:t>
            </w:r>
          </w:p>
        </w:tc>
      </w:tr>
      <w:tr>
        <w:tc>
          <w:tcPr>
            <w:tcW w:type="dxa" w:w="26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Keynote Navy (ink/bg)</w:t>
            </w:r>
          </w:p>
        </w:tc>
        <w:tc>
          <w:tcPr>
            <w:tcW w:type="dxa" w:w="15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#0B1220</w:t>
            </w:r>
          </w:p>
        </w:tc>
        <w:tc>
          <w:tcPr>
            <w:tcW w:type="dxa" w:w="1500"/>
            <w:tcBorders>
              <w:top w:val="single" w:color="D8DFEC" w:sz="1"/>
              <w:left w:val="single" w:color="D8DFEC" w:sz="1"/>
              <w:bottom w:val="single" w:color="D8DFEC" w:sz="1"/>
              <w:right w:val="single" w:color="D8DFEC" w:sz="1"/>
            </w:tcBorders>
            <w:shd w:fill="0B1220" w:val="clear"/>
            <w:tcMar>
              <w:top w:type="dxa" w:w="60"/>
              <w:left w:type="dxa" w:w="110"/>
              <w:bottom w:type="dxa" w:w="60"/>
              <w:right w:type="dxa" w:w="110"/>
            </w:tcMar>
          </w:tcPr>
          <w:p>
            <w:pPr>
              <w:jc w:val="left"/>
            </w:pPr>
            <w:r>
              <w:rPr>
                <w:color w:val="151A2D"/>
                <w:sz w:val="18"/>
                <w:szCs w:val="18"/>
              </w:rPr>
              <w:t xml:space="preserve"/>
            </w:r>
          </w:p>
        </w:tc>
        <w:tc>
          <w:tcPr>
            <w:tcW w:type="dxa" w:w="37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Dark backgrounds, title/close/trust scenes, headings.</w:t>
            </w:r>
          </w:p>
        </w:tc>
      </w:tr>
      <w:tr>
        <w:tc>
          <w:tcPr>
            <w:tcW w:type="dxa" w:w="26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Body Ink</w:t>
            </w:r>
          </w:p>
        </w:tc>
        <w:tc>
          <w:tcPr>
            <w:tcW w:type="dxa" w:w="15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#151A2D</w:t>
            </w:r>
          </w:p>
        </w:tc>
        <w:tc>
          <w:tcPr>
            <w:tcW w:type="dxa" w:w="1500"/>
            <w:tcBorders>
              <w:top w:val="single" w:color="D8DFEC" w:sz="1"/>
              <w:left w:val="single" w:color="D8DFEC" w:sz="1"/>
              <w:bottom w:val="single" w:color="D8DFEC" w:sz="1"/>
              <w:right w:val="single" w:color="D8DFEC" w:sz="1"/>
            </w:tcBorders>
            <w:shd w:fill="151A2D" w:val="clear"/>
            <w:tcMar>
              <w:top w:type="dxa" w:w="60"/>
              <w:left w:type="dxa" w:w="110"/>
              <w:bottom w:type="dxa" w:w="60"/>
              <w:right w:type="dxa" w:w="110"/>
            </w:tcMar>
          </w:tcPr>
          <w:p>
            <w:pPr>
              <w:jc w:val="left"/>
            </w:pPr>
            <w:r>
              <w:rPr>
                <w:color w:val="151A2D"/>
                <w:sz w:val="18"/>
                <w:szCs w:val="18"/>
              </w:rPr>
              <w:t xml:space="preserve"/>
            </w:r>
          </w:p>
        </w:tc>
        <w:tc>
          <w:tcPr>
            <w:tcW w:type="dxa" w:w="37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Body text on light surfaces.</w:t>
            </w:r>
          </w:p>
        </w:tc>
      </w:tr>
      <w:tr>
        <w:tc>
          <w:tcPr>
            <w:tcW w:type="dxa" w:w="26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Defender Emerald</w:t>
            </w:r>
          </w:p>
        </w:tc>
        <w:tc>
          <w:tcPr>
            <w:tcW w:type="dxa" w:w="15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#10B981</w:t>
            </w:r>
          </w:p>
        </w:tc>
        <w:tc>
          <w:tcPr>
            <w:tcW w:type="dxa" w:w="1500"/>
            <w:tcBorders>
              <w:top w:val="single" w:color="D8DFEC" w:sz="1"/>
              <w:left w:val="single" w:color="D8DFEC" w:sz="1"/>
              <w:bottom w:val="single" w:color="D8DFEC" w:sz="1"/>
              <w:right w:val="single" w:color="D8DFEC" w:sz="1"/>
            </w:tcBorders>
            <w:shd w:fill="10B981" w:val="clear"/>
            <w:tcMar>
              <w:top w:type="dxa" w:w="60"/>
              <w:left w:type="dxa" w:w="110"/>
              <w:bottom w:type="dxa" w:w="60"/>
              <w:right w:type="dxa" w:w="110"/>
            </w:tcMar>
          </w:tcPr>
          <w:p>
            <w:pPr>
              <w:jc w:val="left"/>
            </w:pPr>
            <w:r>
              <w:rPr>
                <w:color w:val="151A2D"/>
                <w:sz w:val="18"/>
                <w:szCs w:val="18"/>
              </w:rPr>
              <w:t xml:space="preserve"/>
            </w:r>
          </w:p>
        </w:tc>
        <w:tc>
          <w:tcPr>
            <w:tcW w:type="dxa" w:w="37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Defender agent, cleared/verified, auto-clear lane, success.</w:t>
            </w:r>
          </w:p>
        </w:tc>
      </w:tr>
      <w:tr>
        <w:tc>
          <w:tcPr>
            <w:tcW w:type="dxa" w:w="26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Challenger Red</w:t>
            </w:r>
          </w:p>
        </w:tc>
        <w:tc>
          <w:tcPr>
            <w:tcW w:type="dxa" w:w="15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#EF4444</w:t>
            </w:r>
          </w:p>
        </w:tc>
        <w:tc>
          <w:tcPr>
            <w:tcW w:type="dxa" w:w="1500"/>
            <w:tcBorders>
              <w:top w:val="single" w:color="D8DFEC" w:sz="1"/>
              <w:left w:val="single" w:color="D8DFEC" w:sz="1"/>
              <w:bottom w:val="single" w:color="D8DFEC" w:sz="1"/>
              <w:right w:val="single" w:color="D8DFEC" w:sz="1"/>
            </w:tcBorders>
            <w:shd w:fill="EF4444" w:val="clear"/>
            <w:tcMar>
              <w:top w:type="dxa" w:w="60"/>
              <w:left w:type="dxa" w:w="110"/>
              <w:bottom w:type="dxa" w:w="60"/>
              <w:right w:type="dxa" w:w="110"/>
            </w:tcMar>
          </w:tcPr>
          <w:p>
            <w:pPr>
              <w:jc w:val="left"/>
            </w:pPr>
            <w:r>
              <w:rPr>
                <w:color w:val="151A2D"/>
                <w:sz w:val="18"/>
                <w:szCs w:val="18"/>
              </w:rPr>
              <w:t xml:space="preserve"/>
            </w:r>
          </w:p>
        </w:tc>
        <w:tc>
          <w:tcPr>
            <w:tcW w:type="dxa" w:w="37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Challenger agent, critical risk, escalate, tamper/reject.</w:t>
            </w:r>
          </w:p>
        </w:tc>
      </w:tr>
      <w:tr>
        <w:tc>
          <w:tcPr>
            <w:tcW w:type="dxa" w:w="26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Review Amber</w:t>
            </w:r>
          </w:p>
        </w:tc>
        <w:tc>
          <w:tcPr>
            <w:tcW w:type="dxa" w:w="15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#F59E0B</w:t>
            </w:r>
          </w:p>
        </w:tc>
        <w:tc>
          <w:tcPr>
            <w:tcW w:type="dxa" w:w="1500"/>
            <w:tcBorders>
              <w:top w:val="single" w:color="D8DFEC" w:sz="1"/>
              <w:left w:val="single" w:color="D8DFEC" w:sz="1"/>
              <w:bottom w:val="single" w:color="D8DFEC" w:sz="1"/>
              <w:right w:val="single" w:color="D8DFEC" w:sz="1"/>
            </w:tcBorders>
            <w:shd w:fill="F59E0B" w:val="clear"/>
            <w:tcMar>
              <w:top w:type="dxa" w:w="60"/>
              <w:left w:type="dxa" w:w="110"/>
              <w:bottom w:type="dxa" w:w="60"/>
              <w:right w:type="dxa" w:w="110"/>
            </w:tcMar>
          </w:tcPr>
          <w:p>
            <w:pPr>
              <w:jc w:val="left"/>
            </w:pPr>
            <w:r>
              <w:rPr>
                <w:color w:val="151A2D"/>
                <w:sz w:val="18"/>
                <w:szCs w:val="18"/>
              </w:rPr>
              <w:t xml:space="preserve"/>
            </w:r>
          </w:p>
        </w:tc>
        <w:tc>
          <w:tcPr>
            <w:tcW w:type="dxa" w:w="37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Human-review lane, warnings, in-progress.</w:t>
            </w:r>
          </w:p>
        </w:tc>
      </w:tr>
      <w:tr>
        <w:tc>
          <w:tcPr>
            <w:tcW w:type="dxa" w:w="26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Info Blue</w:t>
            </w:r>
          </w:p>
        </w:tc>
        <w:tc>
          <w:tcPr>
            <w:tcW w:type="dxa" w:w="15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#3B82F6</w:t>
            </w:r>
          </w:p>
        </w:tc>
        <w:tc>
          <w:tcPr>
            <w:tcW w:type="dxa" w:w="1500"/>
            <w:tcBorders>
              <w:top w:val="single" w:color="D8DFEC" w:sz="1"/>
              <w:left w:val="single" w:color="D8DFEC" w:sz="1"/>
              <w:bottom w:val="single" w:color="D8DFEC" w:sz="1"/>
              <w:right w:val="single" w:color="D8DFEC" w:sz="1"/>
            </w:tcBorders>
            <w:shd w:fill="3B82F6" w:val="clear"/>
            <w:tcMar>
              <w:top w:type="dxa" w:w="60"/>
              <w:left w:type="dxa" w:w="110"/>
              <w:bottom w:type="dxa" w:w="60"/>
              <w:right w:type="dxa" w:w="110"/>
            </w:tcMar>
          </w:tcPr>
          <w:p>
            <w:pPr>
              <w:jc w:val="left"/>
            </w:pPr>
            <w:r>
              <w:rPr>
                <w:color w:val="151A2D"/>
                <w:sz w:val="18"/>
                <w:szCs w:val="18"/>
              </w:rPr>
              <w:t xml:space="preserve"/>
            </w:r>
          </w:p>
        </w:tc>
        <w:tc>
          <w:tcPr>
            <w:tcW w:type="dxa" w:w="37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Secondary info, sampled highlight.</w:t>
            </w:r>
          </w:p>
        </w:tc>
      </w:tr>
      <w:tr>
        <w:tc>
          <w:tcPr>
            <w:tcW w:type="dxa" w:w="26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Muted Slate</w:t>
            </w:r>
          </w:p>
        </w:tc>
        <w:tc>
          <w:tcPr>
            <w:tcW w:type="dxa" w:w="15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#64748B</w:t>
            </w:r>
          </w:p>
        </w:tc>
        <w:tc>
          <w:tcPr>
            <w:tcW w:type="dxa" w:w="1500"/>
            <w:tcBorders>
              <w:top w:val="single" w:color="D8DFEC" w:sz="1"/>
              <w:left w:val="single" w:color="D8DFEC" w:sz="1"/>
              <w:bottom w:val="single" w:color="D8DFEC" w:sz="1"/>
              <w:right w:val="single" w:color="D8DFEC" w:sz="1"/>
            </w:tcBorders>
            <w:shd w:fill="64748B" w:val="clear"/>
            <w:tcMar>
              <w:top w:type="dxa" w:w="60"/>
              <w:left w:type="dxa" w:w="110"/>
              <w:bottom w:type="dxa" w:w="60"/>
              <w:right w:type="dxa" w:w="110"/>
            </w:tcMar>
          </w:tcPr>
          <w:p>
            <w:pPr>
              <w:jc w:val="left"/>
            </w:pPr>
            <w:r>
              <w:rPr>
                <w:color w:val="151A2D"/>
                <w:sz w:val="18"/>
                <w:szCs w:val="18"/>
              </w:rPr>
              <w:t xml:space="preserve"/>
            </w:r>
          </w:p>
        </w:tc>
        <w:tc>
          <w:tcPr>
            <w:tcW w:type="dxa" w:w="37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Captions, secondary labels, ‘before’ state.</w:t>
            </w:r>
          </w:p>
        </w:tc>
      </w:tr>
      <w:tr>
        <w:tc>
          <w:tcPr>
            <w:tcW w:type="dxa" w:w="26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Ice / Primary-soft</w:t>
            </w:r>
          </w:p>
        </w:tc>
        <w:tc>
          <w:tcPr>
            <w:tcW w:type="dxa" w:w="15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#EAF1FB</w:t>
            </w:r>
          </w:p>
        </w:tc>
        <w:tc>
          <w:tcPr>
            <w:tcW w:type="dxa" w:w="15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color w:val="151A2D"/>
                <w:sz w:val="18"/>
                <w:szCs w:val="18"/>
              </w:rPr>
              <w:t xml:space="preserve"/>
            </w:r>
          </w:p>
        </w:tc>
        <w:tc>
          <w:tcPr>
            <w:tcW w:type="dxa" w:w="37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Soft fills, table headers, chips.</w:t>
            </w:r>
          </w:p>
        </w:tc>
      </w:tr>
      <w:tr>
        <w:tc>
          <w:tcPr>
            <w:tcW w:type="dxa" w:w="26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Light Surface</w:t>
            </w:r>
          </w:p>
        </w:tc>
        <w:tc>
          <w:tcPr>
            <w:tcW w:type="dxa" w:w="15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#F5F7FB</w:t>
            </w:r>
          </w:p>
        </w:tc>
        <w:tc>
          <w:tcPr>
            <w:tcW w:type="dxa" w:w="1500"/>
            <w:tcBorders>
              <w:top w:val="single" w:color="D8DFEC" w:sz="1"/>
              <w:left w:val="single" w:color="D8DFEC" w:sz="1"/>
              <w:bottom w:val="single" w:color="D8DFEC" w:sz="1"/>
              <w:right w:val="single" w:color="D8DFEC" w:sz="1"/>
            </w:tcBorders>
            <w:shd w:fill="F5F7FB" w:val="clear"/>
            <w:tcMar>
              <w:top w:type="dxa" w:w="60"/>
              <w:left w:type="dxa" w:w="110"/>
              <w:bottom w:type="dxa" w:w="60"/>
              <w:right w:type="dxa" w:w="110"/>
            </w:tcMar>
          </w:tcPr>
          <w:p>
            <w:pPr>
              <w:jc w:val="left"/>
            </w:pPr>
            <w:r>
              <w:rPr>
                <w:color w:val="151A2D"/>
                <w:sz w:val="18"/>
                <w:szCs w:val="18"/>
              </w:rPr>
              <w:t xml:space="preserve"/>
            </w:r>
          </w:p>
        </w:tc>
        <w:tc>
          <w:tcPr>
            <w:tcW w:type="dxa" w:w="37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Light-scene backgrounds, cards.</w:t>
            </w:r>
          </w:p>
        </w:tc>
      </w:tr>
      <w:tr>
        <w:tc>
          <w:tcPr>
            <w:tcW w:type="dxa" w:w="26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Border</w:t>
            </w:r>
          </w:p>
        </w:tc>
        <w:tc>
          <w:tcPr>
            <w:tcW w:type="dxa" w:w="15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#D8DFEC</w:t>
            </w:r>
          </w:p>
        </w:tc>
        <w:tc>
          <w:tcPr>
            <w:tcW w:type="dxa" w:w="1500"/>
            <w:tcBorders>
              <w:top w:val="single" w:color="D8DFEC" w:sz="1"/>
              <w:left w:val="single" w:color="D8DFEC" w:sz="1"/>
              <w:bottom w:val="single" w:color="D8DFEC" w:sz="1"/>
              <w:right w:val="single" w:color="D8DFEC" w:sz="1"/>
            </w:tcBorders>
            <w:shd w:fill="D8DFEC" w:val="clear"/>
            <w:tcMar>
              <w:top w:type="dxa" w:w="60"/>
              <w:left w:type="dxa" w:w="110"/>
              <w:bottom w:type="dxa" w:w="60"/>
              <w:right w:type="dxa" w:w="110"/>
            </w:tcMar>
          </w:tcPr>
          <w:p>
            <w:pPr>
              <w:jc w:val="left"/>
            </w:pPr>
            <w:r>
              <w:rPr>
                <w:color w:val="151A2D"/>
                <w:sz w:val="18"/>
                <w:szCs w:val="18"/>
              </w:rPr>
              <w:t xml:space="preserve"/>
            </w:r>
          </w:p>
        </w:tc>
        <w:tc>
          <w:tcPr>
            <w:tcW w:type="dxa" w:w="37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Hairlines, dividers, card outlines.</w:t>
            </w:r>
          </w:p>
        </w:tc>
      </w:tr>
    </w:tbl>
    <w:p>
      <w:r>
        <w:t xml:space="preserve"/>
      </w:r>
    </w:p>
    <w:p>
      <w:pPr>
        <w:pBdr>
          <w:left w:val="single" w:color="2563EB" w:sz="18" w:space="12"/>
        </w:pBdr>
        <w:spacing w:after="160" w:before="80"/>
      </w:pPr>
      <w:r>
        <w:rPr>
          <w:i/>
          <w:iCs/>
          <w:color w:val="0B1220"/>
        </w:rPr>
        <w:t xml:space="preserve">Dominance rule: Skeptic Blue leads. Emerald and Red are reserved — they carry meaning (Defender vs Challenger, cleared vs escalate). Don’t spend them on decoration, or the debate metaphor loses its punch.</w:t>
      </w:r>
    </w:p>
    <w:p>
      <w:r>
        <w:br w:type="page"/>
      </w:r>
    </w:p>
    <w:p>
      <w:pPr>
        <w:pStyle w:val="Heading1"/>
      </w:pPr>
      <w:r>
        <w:t xml:space="preserve">12. Typography System</w:t>
      </w:r>
    </w:p>
    <w:p>
      <w:pPr>
        <w:spacing w:after="120"/>
      </w:pPr>
      <w:r>
        <w:t xml:space="preserve">The product uses Inter (UI) and JetBrains Mono (data). Keep them in the deck for brand truth. For the .pptx build, Arial stands in as the safe rendering equivalent where Inter isn’t installed — swap to Inter in Canva and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Display / Titles</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Inter, 40–44pt, bold, tight tracking. Scene titles.</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Section headers</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Inter, 20–24pt, semibold.</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Body</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Inter, 14–16pt, regular. Left-aligned, never centered.</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Captions / labels</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Inter, 11–13pt, medium, uppercase for stat labels.</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Stat numerals</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Inter, 60–72pt, bold. The count-up figures.</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Data / hashes / thresholds</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JetBrains Mono, 12–14pt. Confidence scores, hashes, code.</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Fallback stack</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Inter → ui-sans-serif → system-ui → Arial. Mono: JetBrains Mono → ui-monospace → Courier New.</w:t>
            </w:r>
          </w:p>
        </w:tc>
      </w:tr>
    </w:tbl>
    <w:p>
      <w:pPr>
        <w:pStyle w:val="Heading3"/>
      </w:pPr>
      <w:r>
        <w:t xml:space="preserve">Rules</w:t>
      </w:r>
    </w:p>
    <w:p>
      <w:pPr>
        <w:pStyle w:val="ListParagraph"/>
        <w:numPr>
          <w:ilvl w:val="0"/>
          <w:numId w:val="2"/>
        </w:numPr>
        <w:spacing w:after="60"/>
      </w:pPr>
      <w:r>
        <w:t xml:space="preserve">Size contrast is the hierarchy — titles must be at least 2.5× body size.</w:t>
      </w:r>
    </w:p>
    <w:p>
      <w:pPr>
        <w:pStyle w:val="ListParagraph"/>
        <w:numPr>
          <w:ilvl w:val="0"/>
          <w:numId w:val="2"/>
        </w:numPr>
        <w:spacing w:after="60"/>
      </w:pPr>
      <w:r>
        <w:t xml:space="preserve">Use mono only for machine output (scores, hashes, provider names) — it signals ‘this is data, not marketing.’</w:t>
      </w:r>
    </w:p>
    <w:p>
      <w:pPr>
        <w:pStyle w:val="ListParagraph"/>
        <w:numPr>
          <w:ilvl w:val="0"/>
          <w:numId w:val="2"/>
        </w:numPr>
        <w:spacing w:after="60"/>
      </w:pPr>
      <w:r>
        <w:t xml:space="preserve">No more than two type sizes per slide besides the title.</w:t>
      </w:r>
    </w:p>
    <w:p>
      <w:r>
        <w:br w:type="page"/>
      </w:r>
    </w:p>
    <w:p>
      <w:pPr>
        <w:pStyle w:val="Heading1"/>
      </w:pPr>
      <w:r>
        <w:t xml:space="preserve">13. Iconography Guide</w:t>
      </w:r>
    </w:p>
    <w:p>
      <w:pPr>
        <w:spacing w:after="120"/>
      </w:pPr>
      <w:r>
        <w:t xml:space="preserve">The product uses Lucide (consistent, rounded, 1.5px stroke). Match it everywhere for a coherent system. Place icons in soft colored circles (the deck’s repeating visual motif).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8DFEC" w:sz="1"/>
              <w:left w:val="single" w:color="D8DFEC" w:sz="1"/>
              <w:bottom w:val="single" w:color="D8DFEC" w:sz="1"/>
              <w:right w:val="single" w:color="D8DFEC" w:sz="1"/>
            </w:tcBorders>
            <w:shd w:fill="0B1220" w:val="clear"/>
            <w:tcMar>
              <w:top w:type="dxa" w:w="60"/>
              <w:left w:type="dxa" w:w="110"/>
              <w:bottom w:type="dxa" w:w="60"/>
              <w:right w:type="dxa" w:w="110"/>
            </w:tcMar>
          </w:tcPr>
          <w:p>
            <w:pPr>
              <w:jc w:val="left"/>
            </w:pPr>
            <w:r>
              <w:rPr>
                <w:b/>
                <w:bCs/>
                <w:color w:val="FFFFFF"/>
                <w:sz w:val="18"/>
                <w:szCs w:val="18"/>
              </w:rPr>
              <w:t xml:space="preserve">Concept</w:t>
            </w:r>
          </w:p>
        </w:tc>
        <w:tc>
          <w:tcPr>
            <w:tcW w:type="dxa" w:w="6760"/>
            <w:tcBorders>
              <w:top w:val="single" w:color="D8DFEC" w:sz="1"/>
              <w:left w:val="single" w:color="D8DFEC" w:sz="1"/>
              <w:bottom w:val="single" w:color="D8DFEC" w:sz="1"/>
              <w:right w:val="single" w:color="D8DFEC" w:sz="1"/>
            </w:tcBorders>
            <w:shd w:fill="0B1220" w:val="clear"/>
            <w:tcMar>
              <w:top w:type="dxa" w:w="60"/>
              <w:left w:type="dxa" w:w="110"/>
              <w:bottom w:type="dxa" w:w="60"/>
              <w:right w:type="dxa" w:w="110"/>
            </w:tcMar>
          </w:tcPr>
          <w:p>
            <w:pPr>
              <w:jc w:val="left"/>
            </w:pPr>
            <w:r>
              <w:rPr>
                <w:b/>
                <w:bCs/>
                <w:color w:val="FFFFFF"/>
                <w:sz w:val="18"/>
                <w:szCs w:val="18"/>
              </w:rPr>
              <w:t xml:space="preserve">Icon (Lucide) + treatment</w:t>
            </w:r>
          </w:p>
        </w:tc>
      </w:tr>
      <w:tr>
        <w:tc>
          <w:tcPr>
            <w:tcW w:type="dxa" w:w="26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Supervisor</w:t>
            </w:r>
          </w:p>
        </w:tc>
        <w:tc>
          <w:tcPr>
            <w:tcW w:type="dxa" w:w="67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git-branch / network — in blue circle.</w:t>
            </w:r>
          </w:p>
        </w:tc>
      </w:tr>
      <w:tr>
        <w:tc>
          <w:tcPr>
            <w:tcW w:type="dxa" w:w="26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Evidence agent</w:t>
            </w:r>
          </w:p>
        </w:tc>
        <w:tc>
          <w:tcPr>
            <w:tcW w:type="dxa" w:w="67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file-search / search — in blue circle.</w:t>
            </w:r>
          </w:p>
        </w:tc>
      </w:tr>
      <w:tr>
        <w:tc>
          <w:tcPr>
            <w:tcW w:type="dxa" w:w="26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Challenger</w:t>
            </w:r>
          </w:p>
        </w:tc>
        <w:tc>
          <w:tcPr>
            <w:tcW w:type="dxa" w:w="67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swords / shield-alert — in red circle.</w:t>
            </w:r>
          </w:p>
        </w:tc>
      </w:tr>
      <w:tr>
        <w:tc>
          <w:tcPr>
            <w:tcW w:type="dxa" w:w="26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Defender</w:t>
            </w:r>
          </w:p>
        </w:tc>
        <w:tc>
          <w:tcPr>
            <w:tcW w:type="dxa" w:w="67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shield-check — in emerald circle.</w:t>
            </w:r>
          </w:p>
        </w:tc>
      </w:tr>
      <w:tr>
        <w:tc>
          <w:tcPr>
            <w:tcW w:type="dxa" w:w="26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Adjudicator</w:t>
            </w:r>
          </w:p>
        </w:tc>
        <w:tc>
          <w:tcPr>
            <w:tcW w:type="dxa" w:w="67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gavel / scale — in navy circle.</w:t>
            </w:r>
          </w:p>
        </w:tc>
      </w:tr>
      <w:tr>
        <w:tc>
          <w:tcPr>
            <w:tcW w:type="dxa" w:w="26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Verifier</w:t>
            </w:r>
          </w:p>
        </w:tc>
        <w:tc>
          <w:tcPr>
            <w:tcW w:type="dxa" w:w="67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badge-check / check-circle — in emerald circle.</w:t>
            </w:r>
          </w:p>
        </w:tc>
      </w:tr>
      <w:tr>
        <w:tc>
          <w:tcPr>
            <w:tcW w:type="dxa" w:w="26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Confidence / risk</w:t>
            </w:r>
          </w:p>
        </w:tc>
        <w:tc>
          <w:tcPr>
            <w:tcW w:type="dxa" w:w="67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gauge / activity.</w:t>
            </w:r>
          </w:p>
        </w:tc>
      </w:tr>
      <w:tr>
        <w:tc>
          <w:tcPr>
            <w:tcW w:type="dxa" w:w="26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Human review</w:t>
            </w:r>
          </w:p>
        </w:tc>
        <w:tc>
          <w:tcPr>
            <w:tcW w:type="dxa" w:w="67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user-check.</w:t>
            </w:r>
          </w:p>
        </w:tc>
      </w:tr>
      <w:tr>
        <w:tc>
          <w:tcPr>
            <w:tcW w:type="dxa" w:w="26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Audit trail</w:t>
            </w:r>
          </w:p>
        </w:tc>
        <w:tc>
          <w:tcPr>
            <w:tcW w:type="dxa" w:w="67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link / fingerprint / lock.</w:t>
            </w:r>
          </w:p>
        </w:tc>
      </w:tr>
      <w:tr>
        <w:tc>
          <w:tcPr>
            <w:tcW w:type="dxa" w:w="26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Evidence sources</w:t>
            </w:r>
          </w:p>
        </w:tc>
        <w:tc>
          <w:tcPr>
            <w:tcW w:type="dxa" w:w="67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database (RAG), plug (API), book (policy).</w:t>
            </w:r>
          </w:p>
        </w:tc>
      </w:tr>
      <w:tr>
        <w:tc>
          <w:tcPr>
            <w:tcW w:type="dxa" w:w="26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Reports</w:t>
            </w:r>
          </w:p>
        </w:tc>
        <w:tc>
          <w:tcPr>
            <w:tcW w:type="dxa" w:w="67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file-text / download.</w:t>
            </w:r>
          </w:p>
        </w:tc>
      </w:tr>
      <w:tr>
        <w:tc>
          <w:tcPr>
            <w:tcW w:type="dxa" w:w="26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Roadmap</w:t>
            </w:r>
          </w:p>
        </w:tc>
        <w:tc>
          <w:tcPr>
            <w:tcW w:type="dxa" w:w="67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compass / rocket / sparkles.</w:t>
            </w:r>
          </w:p>
        </w:tc>
      </w:tr>
    </w:tbl>
    <w:p>
      <w:r>
        <w:t xml:space="preserve"/>
      </w:r>
    </w:p>
    <w:p>
      <w:pPr>
        <w:pStyle w:val="ListParagraph"/>
        <w:numPr>
          <w:ilvl w:val="0"/>
          <w:numId w:val="2"/>
        </w:numPr>
        <w:spacing w:after="60"/>
      </w:pPr>
      <w:r>
        <w:t xml:space="preserve">Stroke 1.5–2px, rounded caps/joins; never mix filled and outline styles on one slide.</w:t>
      </w:r>
    </w:p>
    <w:p>
      <w:pPr>
        <w:pStyle w:val="ListParagraph"/>
        <w:numPr>
          <w:ilvl w:val="0"/>
          <w:numId w:val="2"/>
        </w:numPr>
        <w:spacing w:after="60"/>
      </w:pPr>
      <w:r>
        <w:t xml:space="preserve">Icon circle diameter ≈ 2.5× the icon; circle fill = soft tint of the semantic color.</w:t>
      </w:r>
    </w:p>
    <w:p>
      <w:r>
        <w:br w:type="page"/>
      </w:r>
    </w:p>
    <w:p>
      <w:pPr>
        <w:pStyle w:val="Heading1"/>
      </w:pPr>
      <w:r>
        <w:t xml:space="preserve">14. Motion Design Guidelines</w:t>
      </w:r>
    </w:p>
    <w:p>
      <w:pPr>
        <w:spacing w:after="120"/>
      </w:pPr>
      <w:r>
        <w:t xml:space="preserve">Motion should feel engineered, not decorative — the same restraint the product’s UI shows. See Section 7 for the per-scene plan; the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Purpose</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Every animation explains a relationship (flow, cause→effect, before→after) or directs the eye. If it does neither, cut it.</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Physics</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Springs for interactive/meter elements; ease-out for entrances. Nothing linear except continuous loops (particles, conveyor).</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Timing budget</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No single transition over 1.5s; content reveals 300–500ms; micro-interactions ≤200ms.</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Continuity</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The particle motif and the day-break wipe bookend the deck — open dark, resolve dark, pivot to light once.</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Reduced motion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Provide a low-motion fallback (cross-fades) for accessibility and for nervous live-demo networks.</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Sound sync</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Key motions (gavel, chain-lock, count-up finish) hit with a sound cue — but only 4–5 cues in the whole deck, or it gets noisy.</w:t>
            </w:r>
          </w:p>
        </w:tc>
      </w:tr>
    </w:tbl>
    <w:p>
      <w:r>
        <w:br w:type="page"/>
      </w:r>
    </w:p>
    <w:p>
      <w:pPr>
        <w:pStyle w:val="Heading1"/>
      </w:pPr>
      <w:r>
        <w:t xml:space="preserve">15. AI Prompt Library</w:t>
      </w:r>
    </w:p>
    <w:p>
      <w:pPr>
        <w:spacing w:after="120"/>
      </w:pPr>
      <w:r>
        <w:t xml:space="preserve">Copy-paste prompts for generating every asset class. Keep the brand palette (Skeptic Blue #2563EB, Keynote Navy #0B1220, Emerald #10B981, Red #EF4444) in image prompts for consistency. Aspect 16:9 unless noted.</w:t>
      </w:r>
    </w:p>
    <w:p>
      <w:pPr>
        <w:pStyle w:val="Heading3"/>
      </w:pPr>
      <w:r>
        <w:t xml:space="preserve">Illustrations &amp; backgrounds (image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Particle field (Scenes 01/14)</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“Abstract dark data visualization background, thousands of tiny glowing transaction rows drifting upward like embers on a deep navy #0B1220 void, a few highlighted in electric blue #2563EB, cinematic, minimal, high detail, 16:9, subtle depth of field.”</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Iceberg metaphor (Scene 02)</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“Minimal cinematic iceberg, small tip above dark water and a vast mass below the surface, brand-blue #2563EB tinted water, moody, negative space top-left for text, 16:9, editorial illustration.”</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Logo reveal bloom (Scene 04)</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“Clean light background with a soft radial bloom of blue particles converging to center, premium tech-keynote aesthetic, lots of whitespace, 16:9.”</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Horizon roadmap (Scene 13)</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“Minimal futuristic horizon at dawn, glowing milestone nodes receding to a vanishing point along a subtle path, blue-to-white gradient sky, optimistic, spacious, 16:9.”</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Hash-chain blocks (Scene 09)</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“Vertical chain of frosted-glass data blocks linked by glowing connectors, each stamped with a hash code, one block cracked red to imply tampering, dark navy background, technical and secure feel, 16:9.”</w:t>
            </w:r>
          </w:p>
        </w:tc>
      </w:tr>
    </w:tbl>
    <w:p>
      <w:pPr>
        <w:pStyle w:val="Heading3"/>
      </w:pPr>
      <w:r>
        <w:t xml:space="preserve">Icons (icon-gen or vector models)</w:t>
      </w:r>
    </w:p>
    <w:p>
      <w:pPr>
        <w:pStyle w:val="ListParagraph"/>
        <w:numPr>
          <w:ilvl w:val="0"/>
          <w:numId w:val="2"/>
        </w:numPr>
        <w:spacing w:after="60"/>
      </w:pPr>
      <w:r>
        <w:t xml:space="preserve">“Flat line icon, 1.5px stroke, rounded, single color, [gavel / shield with sword / shield with check / magnifier over document], inside a soft-tinted circle, minimal, Lucide style.” Generate the six agent icons as a matched set in one prompt for consistency.</w:t>
      </w:r>
    </w:p>
    <w:p>
      <w:pPr>
        <w:pStyle w:val="Heading3"/>
      </w:pPr>
      <w:r>
        <w:t xml:space="preserve">Charts (describe, then build in Canva/Recharts)</w:t>
      </w:r>
    </w:p>
    <w:p>
      <w:pPr>
        <w:pStyle w:val="ListParagraph"/>
        <w:numPr>
          <w:ilvl w:val="0"/>
          <w:numId w:val="2"/>
        </w:numPr>
        <w:spacing w:after="60"/>
      </w:pPr>
      <w:r>
        <w:t xml:space="preserve">Coverage donuts: “Two donut charts side by side, left 5% filled muted grey, right 100% filled emerald #10B981, thick ring, large center percentage label, flat, on white.”</w:t>
      </w:r>
    </w:p>
    <w:p>
      <w:pPr>
        <w:pStyle w:val="ListParagraph"/>
        <w:numPr>
          <w:ilvl w:val="0"/>
          <w:numId w:val="2"/>
        </w:numPr>
        <w:spacing w:after="60"/>
      </w:pPr>
      <w:r>
        <w:t xml:space="preserve">Confidence meter: “Horizontal gauge 0 to 1 with three zones — red &lt;0.70, amber 0.70–0.90, emerald ≥0.90 — a needle at 0.82, clean flat UI.”</w:t>
      </w:r>
    </w:p>
    <w:p>
      <w:pPr>
        <w:pStyle w:val="Heading3"/>
      </w:pPr>
      <w:r>
        <w:t xml:space="preserve">Voice-over (TTS)</w:t>
      </w:r>
    </w:p>
    <w:p>
      <w:pPr>
        <w:pStyle w:val="ListParagraph"/>
        <w:numPr>
          <w:ilvl w:val="0"/>
          <w:numId w:val="2"/>
        </w:numPr>
        <w:spacing w:after="60"/>
      </w:pPr>
      <w:r>
        <w:t xml:space="preserve">Voice brief: “Warm, confident, unhurried mid-tone narrator; documentary-meets-product-demo; slight pause after the opening line; emphasize ‘every transaction’, ‘fair trial’, and the final ‘where should we start?’.” Feed the standalone narration script scene by scene.</w:t>
      </w:r>
    </w:p>
    <w:p>
      <w:pPr>
        <w:pStyle w:val="Heading3"/>
      </w:pPr>
      <w:r>
        <w:t xml:space="preserve">AI avatar presenter (optional)</w:t>
      </w:r>
    </w:p>
    <w:p>
      <w:pPr>
        <w:pStyle w:val="ListParagraph"/>
        <w:numPr>
          <w:ilvl w:val="0"/>
          <w:numId w:val="2"/>
        </w:numPr>
        <w:spacing w:after="60"/>
      </w:pPr>
      <w:r>
        <w:t xml:space="preserve">“Professional, approachable presenter, neutral studio, subtle brand-blue key light; delivers to camera; lower-third with name + ‘Skeptic Engine’.” Use for an async/leave-behind version.</w:t>
      </w:r>
    </w:p>
    <w:p>
      <w:pPr>
        <w:pStyle w:val="Heading3"/>
      </w:pPr>
      <w:r>
        <w:t xml:space="preserve">Background music</w:t>
      </w:r>
    </w:p>
    <w:p>
      <w:pPr>
        <w:pStyle w:val="ListParagraph"/>
        <w:numPr>
          <w:ilvl w:val="0"/>
          <w:numId w:val="2"/>
        </w:numPr>
        <w:spacing w:after="60"/>
      </w:pPr>
      <w:r>
        <w:t xml:space="preserve">“Cinematic corporate underscore, ~2.5 min, tense minimal piano + low strings in the first minute, lifts to a hopeful theme at ~1:00, rhythmic build through the demo, triumphant resolve at the end, no vocals, loop-friendly, 90–100 BPM.”</w:t>
      </w:r>
    </w:p>
    <w:p>
      <w:pPr>
        <w:pStyle w:val="Heading3"/>
      </w:pPr>
      <w:r>
        <w:t xml:space="preserve">Subtitles &amp; B-roll</w:t>
      </w:r>
    </w:p>
    <w:p>
      <w:pPr>
        <w:pStyle w:val="ListParagraph"/>
        <w:numPr>
          <w:ilvl w:val="0"/>
          <w:numId w:val="2"/>
        </w:numPr>
        <w:spacing w:after="60"/>
      </w:pPr>
      <w:r>
        <w:t xml:space="preserve">Subtitles: auto-generate from the narration script; burn-in style = Inter 20pt, white with 60% navy scrim, bottom-center, 2 lines max.</w:t>
      </w:r>
    </w:p>
    <w:p>
      <w:pPr>
        <w:pStyle w:val="ListParagraph"/>
        <w:numPr>
          <w:ilvl w:val="0"/>
          <w:numId w:val="2"/>
        </w:numPr>
        <w:spacing w:after="60"/>
      </w:pPr>
      <w:r>
        <w:t xml:space="preserve">B-roll concepts: audit team at work, ledger spreadsheets scrolling, server room, a regulator’s letter, a gavel — short 2–3s cutaways behind narration; keep color-graded to the blue/navy palette.</w:t>
      </w:r>
    </w:p>
    <w:p>
      <w:r>
        <w:br w:type="page"/>
      </w:r>
    </w:p>
    <w:p>
      <w:pPr>
        <w:pStyle w:val="Heading1"/>
      </w:pPr>
      <w:r>
        <w:t xml:space="preserve">16. Suggested Canva Templates &amp; Page Layouts</w:t>
      </w:r>
    </w:p>
    <w:p>
      <w:pPr>
        <w:spacing w:after="120"/>
      </w:pPr>
      <w:r>
        <w:t xml:space="preserve">Search terms and layout choices inside Canva to move fast without starting from a blank page.</w:t>
      </w:r>
    </w:p>
    <w:p>
      <w:pPr>
        <w:pStyle w:val="ListParagraph"/>
        <w:numPr>
          <w:ilvl w:val="0"/>
          <w:numId w:val="2"/>
        </w:numPr>
        <w:spacing w:after="60"/>
      </w:pPr>
      <w:r>
        <w:rPr>
          <w:b/>
          <w:bCs/>
        </w:rPr>
        <w:t xml:space="preserve">Base deck: </w:t>
      </w:r>
      <w:r>
        <w:t xml:space="preserve">search ‘dark minimal SaaS pitch deck’ or ‘tech keynote presentation’. Pick one with a dark title master and a light content master.</w:t>
      </w:r>
    </w:p>
    <w:p>
      <w:pPr>
        <w:pStyle w:val="ListParagraph"/>
        <w:numPr>
          <w:ilvl w:val="0"/>
          <w:numId w:val="2"/>
        </w:numPr>
        <w:spacing w:after="60"/>
      </w:pPr>
      <w:r>
        <w:rPr>
          <w:b/>
          <w:bCs/>
        </w:rPr>
        <w:t xml:space="preserve">Stat scenes (03, 12): </w:t>
      </w:r>
      <w:r>
        <w:t xml:space="preserve">‘big number statistics slide’ / ‘data highlights’ templates.</w:t>
      </w:r>
    </w:p>
    <w:p>
      <w:pPr>
        <w:pStyle w:val="ListParagraph"/>
        <w:numPr>
          <w:ilvl w:val="0"/>
          <w:numId w:val="2"/>
        </w:numPr>
        <w:spacing w:after="60"/>
      </w:pPr>
      <w:r>
        <w:rPr>
          <w:b/>
          <w:bCs/>
        </w:rPr>
        <w:t xml:space="preserve">Comparison (06, 12): </w:t>
      </w:r>
      <w:r>
        <w:t xml:space="preserve">‘split comparison’ / ‘versus’ / ‘before after’ layouts.</w:t>
      </w:r>
    </w:p>
    <w:p>
      <w:pPr>
        <w:pStyle w:val="ListParagraph"/>
        <w:numPr>
          <w:ilvl w:val="0"/>
          <w:numId w:val="2"/>
        </w:numPr>
        <w:spacing w:after="60"/>
      </w:pPr>
      <w:r>
        <w:rPr>
          <w:b/>
          <w:bCs/>
        </w:rPr>
        <w:t xml:space="preserve">Process (08, 11, 13): </w:t>
      </w:r>
      <w:r>
        <w:t xml:space="preserve">‘process flow’ / ‘timeline’ / ‘roadmap’ templates.</w:t>
      </w:r>
    </w:p>
    <w:p>
      <w:pPr>
        <w:pStyle w:val="ListParagraph"/>
        <w:numPr>
          <w:ilvl w:val="0"/>
          <w:numId w:val="2"/>
        </w:numPr>
        <w:spacing w:after="60"/>
      </w:pPr>
      <w:r>
        <w:rPr>
          <w:b/>
          <w:bCs/>
        </w:rPr>
        <w:t xml:space="preserve">Team/agents (05): </w:t>
      </w:r>
      <w:r>
        <w:t xml:space="preserve">‘team grid’ / ‘feature icons grid’ — replace faces with agent icon cards.</w:t>
      </w:r>
    </w:p>
    <w:p>
      <w:pPr>
        <w:pStyle w:val="ListParagraph"/>
        <w:numPr>
          <w:ilvl w:val="0"/>
          <w:numId w:val="2"/>
        </w:numPr>
        <w:spacing w:after="60"/>
      </w:pPr>
      <w:r>
        <w:rPr>
          <w:b/>
          <w:bCs/>
        </w:rPr>
        <w:t xml:space="preserve">Device demo (10): </w:t>
      </w:r>
      <w:r>
        <w:t xml:space="preserve">‘product mockup’ / ‘app showcase’ with laptop/browser frame.</w:t>
      </w:r>
    </w:p>
    <w:p>
      <w:pPr>
        <w:pStyle w:val="ListParagraph"/>
        <w:numPr>
          <w:ilvl w:val="0"/>
          <w:numId w:val="2"/>
        </w:numPr>
        <w:spacing w:after="60"/>
      </w:pPr>
      <w:r>
        <w:rPr>
          <w:b/>
          <w:bCs/>
        </w:rPr>
        <w:t xml:space="preserve">Apply your Brand Kit </w:t>
      </w:r>
      <w:r>
        <w:t xml:space="preserve">after choosing a template so colors/fonts/logo propagate to every page in one click.</w:t>
      </w:r>
    </w:p>
    <w:p>
      <w:r>
        <w:br w:type="page"/>
      </w:r>
    </w:p>
    <w:p>
      <w:pPr>
        <w:pStyle w:val="Heading1"/>
      </w:pPr>
      <w:r>
        <w:t xml:space="preserve">17. Estimated Presentation Duration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Primary client cut</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14 scenes ≈ 10:00 (see per-scene timings in Section 3).</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Elevator cut (5 min)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Scenes 01, 04, 06, 10, 12, 14 — problem, vision, debate, product, impact, CTA.</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Technical cut (18–22 min)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Full 14 + expansion scenes E1–E4; slow down Scenes 06–11.</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Investor cut (12–14 min)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Full 14 with an added market-size + business-model slide after Scene 03 and a traction/ask slide before Scene 14.</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Async/leave-behind</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Add AI voice-over + burned-in subtitles; same 14 scenes, self-running MP4 export.</w:t>
            </w:r>
          </w:p>
        </w:tc>
      </w:tr>
    </w:tbl>
    <w:p>
      <w:r>
        <w:br w:type="page"/>
      </w:r>
    </w:p>
    <w:p>
      <w:pPr>
        <w:pStyle w:val="Heading1"/>
      </w:pPr>
      <w:r>
        <w:t xml:space="preserve">18. Audience-Specific Versions</w:t>
      </w:r>
    </w:p>
    <w:p>
      <w:pPr>
        <w:spacing w:after="120"/>
      </w:pPr>
      <w:r>
        <w:t xml:space="preserve">One story, six lenses. Keep the 14-scene spine; adjust emphasis, language, and the two or three swap-slides noted below.</w:t>
      </w:r>
    </w:p>
    <w:p>
      <w:pPr>
        <w:pStyle w:val="Heading3"/>
      </w:pPr>
      <w:r>
        <w:t xml:space="preserve">Client / Product Demo (PRIMARY)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Emphasis</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Scenes 05–10 — crew, debate, evidence, human-in-the-loop, live product.</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Language</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‘Your ledger’, ‘your policies’, ‘your reviewers’. Concrete, workflow-first.</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Swap</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Use the customer’s own transaction categories in the demo if possible.</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CTA</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‘Book a live investigation on your data.’</w:t>
            </w:r>
          </w:p>
        </w:tc>
      </w:tr>
    </w:tbl>
    <w:p>
      <w:r>
        <w:t xml:space="preserve"/>
      </w:r>
    </w:p>
    <w:p>
      <w:pPr>
        <w:pStyle w:val="Heading3"/>
      </w:pPr>
      <w:r>
        <w:t xml:space="preserve">Technical /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Emphasis</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Add E1–E4; deepen Scenes 06–11; show /metrics and the evaluation harness.</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Language</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LangGraph orchestration, pgvector RAG, Celery workers, provider fallback, observability.</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Swap</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Replace impact donuts (12) with an architecture + reliability slide.</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CTA</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‘Read the HLD/LLD; let’s talk integration.’</w:t>
            </w:r>
          </w:p>
        </w:tc>
      </w:tr>
    </w:tbl>
    <w:p>
      <w:r>
        <w:t xml:space="preserve"/>
      </w:r>
    </w:p>
    <w:p>
      <w:pPr>
        <w:pStyle w:val="Heading3"/>
      </w:pPr>
      <w:r>
        <w:t xml:space="preserve">Business /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Emphasis</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Scenes 03, 08, 12 — cost, routing, impact. Less ‘how’, more ‘what it changes’.</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Language</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Coverage, cycle time, reviewer productivity, audit-readiness.</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Swap</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Add a process-before/after swim-lane after Scene 12.</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CTA</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‘Pilot on one quarter’s ledger.’</w:t>
            </w:r>
          </w:p>
        </w:tc>
      </w:tr>
    </w:tbl>
    <w:p>
      <w:r>
        <w:t xml:space="preserve"/>
      </w:r>
    </w:p>
    <w:p>
      <w:pPr>
        <w:pStyle w:val="Heading3"/>
      </w:pPr>
      <w:r>
        <w:t xml:space="preserve">Executive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Emphasis</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Tighten to the 5-min elevator cut; lead with risk and defensibility.</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Language</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Control, compliance, exposure, scale — board-ready framing.</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Swap</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One-slide ‘why now’ (AI maturity + regulatory pressure) after Scene 03.</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CTA</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‘Approve a scoped pilot.’</w:t>
            </w:r>
          </w:p>
        </w:tc>
      </w:tr>
    </w:tbl>
    <w:p>
      <w:r>
        <w:t xml:space="preserve"/>
      </w:r>
    </w:p>
    <w:p>
      <w:pPr>
        <w:pStyle w:val="Heading3"/>
      </w:pPr>
      <w:r>
        <w:t xml:space="preserve">Investor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Emphasis</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Problem size, wedge (audit), platform vision, defensibility (the audit-trail moat).</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Language</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Market, ICP, moat, roadmap-to-platform, unit economics of LLM cost controls.</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Swap</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Add market-size (after 03) and traction/ask (before 14) slides; keep the debate as the ‘why we’re different’ beat.</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CTA</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‘Here’s the round and the milestones.’</w:t>
            </w:r>
          </w:p>
        </w:tc>
      </w:tr>
    </w:tbl>
    <w:p>
      <w:r>
        <w:t xml:space="preserve"/>
      </w:r>
    </w:p>
    <w:p>
      <w:pPr>
        <w:pStyle w:val="Heading3"/>
      </w:pPr>
      <w:r>
        <w:t xml:space="preserve">Recruiter / Portfolio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Emphasis</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Frame as your build: decisions, trade-offs, and the engineering behind Scenes 06–11.</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Language</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‘I designed / I built / I chose X because Y.’ Call out the multi-agent orchestration and full-stack scope.</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Swap</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Replace CTA (14) with a ‘what I’d do next / what I learned’ slide + repo link.</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CTA</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‘Here’s the repo and the architecture docs.’</w:t>
            </w:r>
          </w:p>
        </w:tc>
      </w:tr>
    </w:tbl>
    <w:p>
      <w:r>
        <w:t xml:space="preserve"/>
      </w:r>
    </w:p>
    <w:p>
      <w:r>
        <w:br w:type="page"/>
      </w:r>
    </w:p>
    <w:p>
      <w:pPr>
        <w:pStyle w:val="Heading1"/>
      </w:pPr>
      <w:r>
        <w:t xml:space="preserve">19. Presentation Gap Analysis &amp; Recommendations</w:t>
      </w:r>
    </w:p>
    <w:p>
      <w:pPr>
        <w:spacing w:after="120"/>
      </w:pPr>
      <w:r>
        <w:t xml:space="preserve">Analysis of the project surfaced gaps between the story you can honestly tell today and the story the deck implies. Address these so the presentation reflects the strongest — and truthful — version of the product.</w:t>
      </w:r>
    </w:p>
    <w:p>
      <w:pPr>
        <w:pStyle w:val="Heading3"/>
      </w:pPr>
      <w:r>
        <w:t xml:space="preserve">Substance gaps to close before a client demo</w:t>
      </w:r>
    </w:p>
    <w:p>
      <w:pPr>
        <w:pStyle w:val="ListParagraph"/>
        <w:numPr>
          <w:ilvl w:val="0"/>
          <w:numId w:val="3"/>
        </w:numPr>
        <w:spacing w:after="60"/>
      </w:pPr>
      <w:r>
        <w:t xml:space="preserve">Wire real data end-to-end. The UI still ships with mock fixtures in places; the demo (Scene 10) is far stronger with a live backend run on a real sample ledger (sample_metrics_1000.xlsx exists — use it).</w:t>
      </w:r>
    </w:p>
    <w:p>
      <w:pPr>
        <w:pStyle w:val="ListParagraph"/>
        <w:numPr>
          <w:ilvl w:val="0"/>
          <w:numId w:val="3"/>
        </w:numPr>
        <w:spacing w:after="60"/>
      </w:pPr>
      <w:r>
        <w:t xml:space="preserve">Authentication is off by default. The audit report flags AUTH_REQUIRED=false and an unauthenticated WebSocket. For a security-conscious audit buyer, enable auth and be ready to speak to RBAC/segregation-of-duties before demoing.</w:t>
      </w:r>
    </w:p>
    <w:p>
      <w:pPr>
        <w:pStyle w:val="ListParagraph"/>
        <w:numPr>
          <w:ilvl w:val="0"/>
          <w:numId w:val="3"/>
        </w:numPr>
        <w:spacing w:after="60"/>
      </w:pPr>
      <w:r>
        <w:t xml:space="preserve">pgvector is installed but similarity search is brute-force Python over hashed vectors. The deck says ‘RAG’; make sure the evidence demo doesn’t overclaim retrieval quality, or fix it to real pgvector ANN first.</w:t>
      </w:r>
    </w:p>
    <w:p>
      <w:pPr>
        <w:pStyle w:val="ListParagraph"/>
        <w:numPr>
          <w:ilvl w:val="0"/>
          <w:numId w:val="3"/>
        </w:numPr>
        <w:spacing w:after="60"/>
      </w:pPr>
      <w:r>
        <w:t xml:space="preserve">Reliability features are aspirational. Retry/backoff, circuit breakers, and the compiled LangGraph path are partly dead code per the audit. Present these (expansion scene E3) as roadmap, not shipped, unless implemented.</w:t>
      </w:r>
    </w:p>
    <w:p>
      <w:pPr>
        <w:pStyle w:val="ListParagraph"/>
        <w:numPr>
          <w:ilvl w:val="0"/>
          <w:numId w:val="3"/>
        </w:numPr>
        <w:spacing w:after="60"/>
      </w:pPr>
      <w:r>
        <w:t xml:space="preserve">Report export. Scene 10 ends on ‘the report generates itself’ — confirm MD/HTML/PDF export actually works on the demo case, or soften the claim.</w:t>
      </w:r>
    </w:p>
    <w:p>
      <w:pPr>
        <w:pStyle w:val="Heading3"/>
      </w:pPr>
      <w:r>
        <w:t xml:space="preserve">Story/presentation improvements</w:t>
      </w:r>
    </w:p>
    <w:p>
      <w:pPr>
        <w:pStyle w:val="ListParagraph"/>
        <w:numPr>
          <w:ilvl w:val="0"/>
          <w:numId w:val="3"/>
        </w:numPr>
        <w:spacing w:after="60"/>
      </w:pPr>
      <w:r>
        <w:t xml:space="preserve">Lead with the iceberg, not the architecture. The temptation with a technical project is to open on the stack; the 95%-unexamined blind spot is the hook.</w:t>
      </w:r>
    </w:p>
    <w:p>
      <w:pPr>
        <w:pStyle w:val="ListParagraph"/>
        <w:numPr>
          <w:ilvl w:val="0"/>
          <w:numId w:val="3"/>
        </w:numPr>
        <w:spacing w:after="60"/>
      </w:pPr>
      <w:r>
        <w:t xml:space="preserve">Make the debate the centerpiece. It’s the one thing competitors don’t have — give it a full 60 seconds and a live example.</w:t>
      </w:r>
    </w:p>
    <w:p>
      <w:pPr>
        <w:pStyle w:val="ListParagraph"/>
        <w:numPr>
          <w:ilvl w:val="0"/>
          <w:numId w:val="3"/>
        </w:numPr>
        <w:spacing w:after="60"/>
      </w:pPr>
      <w:r>
        <w:t xml:space="preserve">Show one real case, start to finish. A single concrete transaction carried across Scenes 06–10 beats abstract capability slides.</w:t>
      </w:r>
    </w:p>
    <w:p>
      <w:pPr>
        <w:pStyle w:val="ListParagraph"/>
        <w:numPr>
          <w:ilvl w:val="0"/>
          <w:numId w:val="3"/>
        </w:numPr>
        <w:spacing w:after="60"/>
      </w:pPr>
      <w:r>
        <w:t xml:space="preserve">Quantify honestly. Replace placeholder stats with figures you can defend (coverage %, review-time delta from a pilot); an audit audience will probe numbers.</w:t>
      </w:r>
    </w:p>
    <w:p>
      <w:r>
        <w:br w:type="page"/>
      </w:r>
    </w:p>
    <w:p>
      <w:pPr>
        <w:pStyle w:val="Heading1"/>
      </w:pPr>
      <w:r>
        <w:t xml:space="preserve">20. Final Production-Readiness Review</w:t>
      </w:r>
    </w:p>
    <w:p>
      <w:pPr>
        <w:spacing w:after="120"/>
      </w:pPr>
      <w:r>
        <w:t xml:space="preserve">The pre-flight checklist across six dimensions. Clear these before you consider the presentation — and the product story — production-ready.</w:t>
      </w:r>
    </w:p>
    <w:p>
      <w:pPr>
        <w:pStyle w:val="Heading3"/>
      </w:pPr>
      <w:r>
        <w:t xml:space="preserve">Missing features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Now</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Auth/RBAC enabled; real pgvector retrieval; verified report export; a seeded live demo case.</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Next</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Real-time monitoring, audit copilot, ERP/GRC integrations (already on the roadmap — Scene 13).</w:t>
            </w:r>
          </w:p>
        </w:tc>
      </w:tr>
    </w:tbl>
    <w:p>
      <w:r>
        <w:t xml:space="preserve"/>
      </w:r>
    </w:p>
    <w:p>
      <w:pPr>
        <w:pStyle w:val="Heading3"/>
      </w:pPr>
      <w:r>
        <w:t xml:space="preserve">UX improvements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Now</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Per-route loading/error boundaries; paginate/virtualize large tables; typed confirmation on destructive ‘delete all’ (per audit).</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Demo</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Pre-load the demo case; disable background polling during the live run to avoid flicker.</w:t>
            </w:r>
          </w:p>
        </w:tc>
      </w:tr>
    </w:tbl>
    <w:p>
      <w:r>
        <w:t xml:space="preserve"/>
      </w:r>
    </w:p>
    <w:p>
      <w:pPr>
        <w:pStyle w:val="Heading3"/>
      </w:pPr>
      <w:r>
        <w:t xml:space="preserve">Technical improvements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Now</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Fix blocking sync-in-async DB calls; stop duplicate WebSocket+polling refresh; clamp confidence to [0,1].</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Reliability</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Make retry/backoff and circuit breakers real before claiming them on stage.</w:t>
            </w:r>
          </w:p>
        </w:tc>
      </w:tr>
    </w:tbl>
    <w:p>
      <w:r>
        <w:t xml:space="preserve"/>
      </w:r>
    </w:p>
    <w:p>
      <w:pPr>
        <w:pStyle w:val="Heading3"/>
      </w:pPr>
      <w:r>
        <w:t xml:space="preserve">Storytelling enhancements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Now</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One case carried end-to-end; slow the debate beat; open on the blind-spot metaphor.</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Polish</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Bookend particles (Scene 01→14); one signature transition; 4–5 sound cues max.</w:t>
            </w:r>
          </w:p>
        </w:tc>
      </w:tr>
    </w:tbl>
    <w:p>
      <w:r>
        <w:t xml:space="preserve"/>
      </w:r>
    </w:p>
    <w:p>
      <w:pPr>
        <w:pStyle w:val="Heading3"/>
      </w:pPr>
      <w:r>
        <w:t xml:space="preserve">Branding opportunities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Now</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Lock the Challenger-red / Defender-emerald identity as the signature; apply the Brand Kit deck-wide.</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System</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Reuse Lucide + soft-circle icon motif; Inter + JetBrains Mono for the ‘this is data’ signal.</w:t>
            </w:r>
          </w:p>
        </w:tc>
      </w:tr>
    </w:tbl>
    <w:p>
      <w:r>
        <w:t xml:space="preserve"/>
      </w:r>
    </w:p>
    <w:p>
      <w:pPr>
        <w:pStyle w:val="Heading3"/>
      </w:pPr>
      <w:r>
        <w:t xml:space="preserve">Presentation refinements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Now</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Speaker notes on every slide; rehearse to the 10:00 target; prepare the 5-min and technical cuts.</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Risk</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Have a recorded fallback of the product walkthrough in case the live demo network fails.</w:t>
            </w:r>
          </w:p>
        </w:tc>
      </w:tr>
    </w:tbl>
    <w:p>
      <w:r>
        <w:t xml:space="preserve"/>
      </w:r>
    </w:p>
    <w:p>
      <w:pPr>
        <w:pStyle w:val="Heading3"/>
      </w:pPr>
      <w:r>
        <w:t xml:space="preserve">Ship-ready definition</w:t>
      </w:r>
    </w:p>
    <w:p>
      <w:pPr>
        <w:pStyle w:val="ListParagraph"/>
        <w:numPr>
          <w:ilvl w:val="0"/>
          <w:numId w:val="2"/>
        </w:numPr>
        <w:spacing w:after="60"/>
      </w:pPr>
      <w:r>
        <w:t xml:space="preserve">Deck rehearsed to 10:00 ±15s with the primary (client) narration.</w:t>
      </w:r>
    </w:p>
    <w:p>
      <w:pPr>
        <w:pStyle w:val="ListParagraph"/>
        <w:numPr>
          <w:ilvl w:val="0"/>
          <w:numId w:val="2"/>
        </w:numPr>
        <w:spacing w:after="60"/>
      </w:pPr>
      <w:r>
        <w:t xml:space="preserve">Live demo works on a seeded case with auth on; recorded fallback ready.</w:t>
      </w:r>
    </w:p>
    <w:p>
      <w:pPr>
        <w:pStyle w:val="ListParagraph"/>
        <w:numPr>
          <w:ilvl w:val="0"/>
          <w:numId w:val="2"/>
        </w:numPr>
        <w:spacing w:after="60"/>
      </w:pPr>
      <w:r>
        <w:t xml:space="preserve">Every on-stage claim is either shipped or clearly labeled roadmap.</w:t>
      </w:r>
    </w:p>
    <w:p>
      <w:pPr>
        <w:pStyle w:val="ListParagraph"/>
        <w:numPr>
          <w:ilvl w:val="0"/>
          <w:numId w:val="2"/>
        </w:numPr>
        <w:spacing w:after="60"/>
      </w:pPr>
      <w:r>
        <w:t xml:space="preserve">Brand Kit applied; the debate beat lands; the close ends on a question.</w:t>
      </w:r>
    </w:p>
    <w:p>
      <w:r>
        <w:t xml:space="preserve"/>
      </w:r>
    </w:p>
    <w:p>
      <w:pPr>
        <w:spacing w:after="120"/>
      </w:pPr>
      <w:r>
        <w:rPr>
          <w:color w:val="64748B"/>
        </w:rPr>
        <w:t xml:space="preserve">Prepared as a companion to </w:t>
      </w:r>
      <w:r>
        <w:rPr>
          <w:b/>
          <w:bCs/>
          <w:color w:val="2563EB"/>
        </w:rPr>
        <w:t xml:space="preserve">Skeptic_Engine_Presentation.pptx</w:t>
      </w:r>
      <w:r>
        <w:rPr>
          <w:color w:val="64748B"/>
        </w:rPr>
        <w:t xml:space="preserve">, </w:t>
      </w:r>
      <w:r>
        <w:rPr>
          <w:b/>
          <w:bCs/>
          <w:color w:val="2563EB"/>
        </w:rPr>
        <w:t xml:space="preserve">Skeptic_Engine_Narration_Script.docx</w:t>
      </w:r>
      <w:r>
        <w:rPr>
          <w:color w:val="64748B"/>
        </w:rPr>
        <w:t xml:space="preserve">, and </w:t>
      </w:r>
      <w:r>
        <w:rPr>
          <w:b/>
          <w:bCs/>
          <w:color w:val="2563EB"/>
        </w:rPr>
        <w:t xml:space="preserve">Skeptic_Engine_Brand_Style_Guide.docx</w:t>
      </w:r>
      <w:r>
        <w:rPr>
          <w:color w:val="64748B"/>
        </w:rPr>
        <w:t xml:space="preser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Page </w:t>
    </w:r>
    <w:r>
      <w:rPr>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6"/>
        <w:szCs w:val="16"/>
      </w:rPr>
      <w:t xml:space="preserve">Skeptic Engine — Storyboard Bible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20"/>
      </w:pPr>
    </w:lvl>
    <w:lvl w:ilvl="1" w15:tentative="1">
      <w:start w:val="1"/>
      <w:numFmt w:val="bullet"/>
      <w:lvlText w:val="◦"/>
      <w:lvlJc w:val="left"/>
      <w:pPr>
        <w:ind w:left="1140" w:hanging="320"/>
      </w:pPr>
    </w:lvl>
  </w:abstractNum>
  <w:abstractNum w:abstractNumId="3" w15:restartNumberingAfterBreak="0">
    <w:multiLevelType w:val="hybridMultilevel"/>
    <w:lvl w:ilvl="0" w15:tentative="1">
      <w:start w:val="1"/>
      <w:numFmt w:val="decimal"/>
      <w:lvlText w:val="%1."/>
      <w:lvlJc w:val="left"/>
      <w:pPr>
        <w:ind w:left="62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51A2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563EB"/>
      <w:sz w:val="34"/>
      <w:szCs w:val="34"/>
    </w:rPr>
  </w:style>
  <w:style w:type="paragraph" w:styleId="Heading2">
    <w:name w:val="Heading 2"/>
    <w:basedOn w:val="Normal"/>
    <w:next w:val="Normal"/>
    <w:qFormat/>
    <w:pPr>
      <w:spacing w:after="120" w:before="220"/>
      <w:outlineLvl w:val="1"/>
    </w:pPr>
    <w:rPr>
      <w:rFonts w:ascii="Arial" w:cs="Arial" w:eastAsia="Arial" w:hAnsi="Arial"/>
      <w:b/>
      <w:bCs/>
      <w:color w:val="0B1220"/>
      <w:sz w:val="26"/>
      <w:szCs w:val="26"/>
    </w:rPr>
  </w:style>
  <w:style w:type="paragraph" w:styleId="Heading3">
    <w:name w:val="Heading 3"/>
    <w:basedOn w:val="Normal"/>
    <w:next w:val="Normal"/>
    <w:qFormat/>
    <w:pPr>
      <w:spacing w:after="80" w:before="160"/>
      <w:outlineLvl w:val="2"/>
    </w:pPr>
    <w:rPr>
      <w:rFonts w:ascii="Arial" w:cs="Arial" w:eastAsia="Arial" w:hAnsi="Arial"/>
      <w:b/>
      <w:bCs/>
      <w:color w:val="151A2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Skeptic Engine — Storyboard &amp; Canva Presentation Bible</dc:title>
  <dc:creator>Skeptic Engine</dc:creator>
  <cp:lastModifiedBy>Un-named</cp:lastModifiedBy>
  <cp:revision>1</cp:revision>
  <dcterms:created xsi:type="dcterms:W3CDTF">2026-07-06T05:02:34.373Z</dcterms:created>
  <dcterms:modified xsi:type="dcterms:W3CDTF">2026-07-06T05:02:34.373Z</dcterms:modified>
</cp:coreProperties>
</file>

<file path=docProps/custom.xml><?xml version="1.0" encoding="utf-8"?>
<Properties xmlns="http://schemas.openxmlformats.org/officeDocument/2006/custom-properties" xmlns:vt="http://schemas.openxmlformats.org/officeDocument/2006/docPropsVTypes"/>
</file>