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numId w:val="0"/>
        </w:numPr>
        <w:ind w:left="420" w:leftChars="0"/>
        <w:rPr>
          <w:rFonts w:hint="default"/>
          <w:lang w:val="en-US" w:eastAsia="zh-CN"/>
        </w:rPr>
      </w:pPr>
      <w:r>
        <w:rPr>
          <w:rFonts w:hint="default"/>
          <w:lang w:val="en-US" w:eastAsia="zh-CN"/>
        </w:rPr>
        <w:t>Softmax - 用于多分类神经网络输出</w:t>
      </w:r>
    </w:p>
    <w:p>
      <w:pPr>
        <w:numPr>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numId w:val="0"/>
        </w:numPr>
        <w:rPr>
          <w:rFonts w:hint="default"/>
          <w:lang w:val="en-US" w:eastAsia="zh-CN"/>
        </w:rPr>
      </w:pPr>
      <w:r>
        <w:rPr>
          <w:rFonts w:hint="default"/>
          <w:lang w:val="en-US" w:eastAsia="zh-CN"/>
        </w:rPr>
        <w:t>Sigmoid 和 ReLU 比较：</w:t>
      </w:r>
    </w:p>
    <w:p>
      <w:pPr>
        <w:numPr>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numId w:val="0"/>
        </w:numPr>
        <w:rPr>
          <w:rFonts w:hint="default"/>
          <w:lang w:val="en-US" w:eastAsia="zh-CN"/>
        </w:rPr>
      </w:pPr>
      <w:r>
        <w:rPr>
          <w:rFonts w:hint="default"/>
          <w:lang w:val="en-US" w:eastAsia="zh-CN"/>
        </w:rPr>
        <w:t>1）单侧抑制</w:t>
      </w:r>
    </w:p>
    <w:p>
      <w:pPr>
        <w:numPr>
          <w:numId w:val="0"/>
        </w:numPr>
        <w:rPr>
          <w:rFonts w:hint="default"/>
          <w:lang w:val="en-US" w:eastAsia="zh-CN"/>
        </w:rPr>
      </w:pPr>
      <w:r>
        <w:rPr>
          <w:rFonts w:hint="default"/>
          <w:lang w:val="en-US" w:eastAsia="zh-CN"/>
        </w:rPr>
        <w:t>2）相对宽阔的兴奋边界</w:t>
      </w:r>
    </w:p>
    <w:p>
      <w:pPr>
        <w:numPr>
          <w:numId w:val="0"/>
        </w:numPr>
        <w:rPr>
          <w:rFonts w:hint="default"/>
          <w:lang w:val="en-US" w:eastAsia="zh-CN"/>
        </w:rPr>
      </w:pPr>
      <w:r>
        <w:rPr>
          <w:rFonts w:hint="default"/>
          <w:lang w:val="en-US" w:eastAsia="zh-CN"/>
        </w:rPr>
        <w:t>3）稀疏激活性。</w:t>
      </w:r>
    </w:p>
    <w:p>
      <w:pPr>
        <w:numPr>
          <w:numId w:val="0"/>
        </w:numPr>
        <w:rPr>
          <w:rFonts w:hint="default"/>
          <w:lang w:val="en-US" w:eastAsia="zh-CN"/>
        </w:rPr>
      </w:pPr>
      <w:r>
        <w:rPr>
          <w:rFonts w:hint="default"/>
          <w:lang w:val="en-US" w:eastAsia="zh-CN"/>
        </w:rPr>
        <w:t>Sigmoid 和 Softmax 区别：</w:t>
      </w:r>
    </w:p>
    <w:p>
      <w:pPr>
        <w:numPr>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numId w:val="0"/>
        </w:numPr>
        <w:rPr>
          <w:rFonts w:hint="default"/>
          <w:lang w:val="en-US" w:eastAsia="zh-CN"/>
        </w:rPr>
      </w:pPr>
      <w:r>
        <w:rPr>
          <w:rFonts w:hint="default"/>
          <w:lang w:val="en-US" w:eastAsia="zh-CN"/>
        </w:rPr>
        <w:t>利用softmax回归参数冗余的特点，从两个参数向量中都减去向量θ1 ，得到:</w:t>
      </w:r>
    </w:p>
    <w:p>
      <w:pPr>
        <w:numPr>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numId w:val="0"/>
        </w:numPr>
        <w:rPr>
          <w:rFonts w:hint="default"/>
          <w:lang w:val="en-US" w:eastAsia="zh-CN"/>
        </w:rPr>
      </w:pPr>
      <w:r>
        <w:rPr>
          <w:rFonts w:hint="default"/>
          <w:lang w:val="en-US" w:eastAsia="zh-CN"/>
        </w:rPr>
        <w:t>另一个类别概率的为</w:t>
      </w:r>
    </w:p>
    <w:p>
      <w:pPr>
        <w:numPr>
          <w:numId w:val="0"/>
        </w:numPr>
        <w:rPr>
          <w:rFonts w:hint="default"/>
          <w:lang w:val="en-US" w:eastAsia="zh-CN"/>
        </w:rPr>
      </w:pPr>
      <w:r>
        <w:rPr>
          <w:rFonts w:hint="default"/>
          <w:lang w:val="en-US" w:eastAsia="zh-CN"/>
        </w:rPr>
        <w:t>这与 logistic回归是一致的。</w:t>
      </w:r>
    </w:p>
    <w:p>
      <w:pPr>
        <w:numPr>
          <w:numId w:val="0"/>
        </w:numPr>
        <w:rPr>
          <w:rFonts w:hint="default"/>
          <w:lang w:val="en-US" w:eastAsia="zh-CN"/>
        </w:rPr>
      </w:pPr>
      <w:r>
        <w:rPr>
          <w:rFonts w:hint="default"/>
          <w:lang w:val="en-US" w:eastAsia="zh-CN"/>
        </w:rPr>
        <w:t>softmax建模使用的分布是多项式分布，而logistic则基于伯努利分布　</w:t>
      </w:r>
    </w:p>
    <w:p>
      <w:pPr>
        <w:numPr>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numId w:val="0"/>
        </w:numPr>
        <w:ind w:leftChars="0"/>
        <w:rPr>
          <w:rFonts w:hint="default"/>
          <w:lang w:val="en-US" w:eastAsia="zh-CN"/>
        </w:rPr>
      </w:pPr>
      <w:r>
        <w:rPr>
          <w:rFonts w:hint="default"/>
          <w:lang w:val="en-US" w:eastAsia="zh-CN"/>
        </w:rPr>
        <w:t>选择的时候，就是根据各个函数的优缺点来配置，例如：</w:t>
      </w:r>
    </w:p>
    <w:p>
      <w:pPr>
        <w:numPr>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522605</wp:posOffset>
            </wp:positionH>
            <wp:positionV relativeFrom="paragraph">
              <wp:posOffset>82550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2992120" cy="1536700"/>
                    </a:xfrm>
                    <a:prstGeom prst="rect">
                      <a:avLst/>
                    </a:prstGeom>
                    <a:noFill/>
                    <a:ln>
                      <a:noFill/>
                    </a:ln>
                  </pic:spPr>
                </pic:pic>
              </a:graphicData>
            </a:graphic>
          </wp:anchor>
        </w:drawing>
      </w:r>
    </w:p>
    <w:p>
      <w:pPr>
        <w:rPr>
          <w:rFonts w:hint="default"/>
          <w:lang w:val="en-US" w:eastAsia="zh-CN"/>
        </w:rPr>
      </w:pP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rPr>
          <w:rFonts w:hint="default"/>
          <w:lang w:val="en-US" w:eastAsia="zh-CN"/>
        </w:rPr>
      </w:pPr>
      <w:bookmarkStart w:id="0" w:name="_GoBack"/>
      <w:bookmarkEnd w:id="0"/>
      <w:r>
        <w:rPr>
          <w:rFonts w:hint="default"/>
          <w:lang w:val="en-US" w:eastAsia="zh-CN"/>
        </w:rPr>
        <w:t>1.TensorFlow卷积</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7"/>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2019-06-17T14:11:26Z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