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ind w:firstLine="420" w:firstLineChars="0"/>
        <w:rPr>
          <w:rFonts w:hint="default"/>
          <w:lang w:val="en-US" w:eastAsia="zh-CN"/>
        </w:rPr>
      </w:pPr>
      <w:r>
        <w:rPr>
          <w:rFonts w:hint="default"/>
          <w:lang w:val="en-US" w:eastAsia="zh-CN"/>
        </w:rPr>
        <w:t>TensorFlow™ 是一个采用数据流图（data flow graphs），用于数值计算的开源软件库。节点（Nodes）在图中表示数学操作，图中的线（edges）则表示在节点间相互联系的多维数据数组，即张量（tensor）。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ascii="宋体" w:hAnsi="宋体" w:eastAsia="宋体" w:cs="宋体"/>
          <w:sz w:val="24"/>
          <w:szCs w:val="24"/>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bookmarkStart w:id="0" w:name="_GoBack"/>
      <w:bookmarkEnd w:id="0"/>
    </w:p>
    <w:p>
      <w:pPr>
        <w:ind w:firstLine="420" w:firstLineChars="0"/>
        <w:rPr>
          <w:rFonts w:hint="default"/>
          <w:lang w:val="en-US" w:eastAsia="zh-CN"/>
        </w:rPr>
      </w:pPr>
      <w:r>
        <w:rPr>
          <w:rFonts w:hint="default"/>
          <w:lang w:val="en-US" w:eastAsia="zh-CN"/>
        </w:rPr>
        <w:t>Tensorflow是一种计算图模型，即用图的形式来表示运算过程的一种模型。Tensorflow程序一般分为图的构建和图的执行两个阶段。图的构建阶段也称为图的定义阶段，该过程会在图模型中定义所需的运算，每次运算的的结果以及原始的输入数据都可称为一个节点（operation ，缩写为op）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2019-05-30T14:05:31Z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