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numPr>
          <w:ilvl w:val="0"/>
          <w:numId w:val="0"/>
        </w:numPr>
        <w:ind w:leftChars="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numPr>
          <w:ilvl w:val="0"/>
          <w:numId w:val="0"/>
        </w:numPr>
        <w:ind w:leftChars="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5"/>
        <w:bidi w:val="0"/>
        <w:rPr>
          <w:rFonts w:hint="eastAsia"/>
          <w:lang w:val="en-US" w:eastAsia="zh-CN"/>
        </w:rPr>
      </w:pPr>
      <w:r>
        <w:rPr>
          <w:rFonts w:hint="eastAsia"/>
          <w:lang w:val="en-US" w:eastAsia="zh-CN"/>
        </w:rPr>
        <w:t>2.4.2 函数讲解</w:t>
      </w:r>
    </w:p>
    <w:p>
      <w:pPr>
        <w:rPr>
          <w:rFonts w:hint="default"/>
          <w:lang w:val="en-US" w:eastAsia="zh-CN"/>
        </w:rPr>
      </w:pPr>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bookmarkStart w:id="0" w:name="_GoBack"/>
      <w:bookmarkEnd w:id="0"/>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5D31AA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627543"/>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2019-05-31T15:36:11Z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