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Plano de OAuth e publicação do MCP Safra</w:t>
      </w:r>
    </w:p>
    <w:p>
      <w:r>
        <w:rPr>
          <w:b/>
        </w:rPr>
        <w:t>Documento de implementação para Athos e equipes de PSC, integração e MCP</w:t>
      </w:r>
    </w:p>
    <w:p>
      <w:r>
        <w:rPr>
          <w:b w:val="0"/>
        </w:rPr>
        <w:t>Versão 1  •  Fontes verificadas em 19 de outubro de 2026  •  Próxima sessão de trabalho em 20 de outubro de 2026</w:t>
      </w:r>
    </w:p>
    <w:p>
      <w:pPr>
        <w:pStyle w:val="Heading1"/>
      </w:pPr>
      <w:r>
        <w:t>Decisão recomendada</w:t>
      </w:r>
    </w:p>
    <w:p>
      <w:r>
        <w:rPr>
          <w:b w:val="0"/>
        </w:rPr>
        <w:t>Reaproveitar o login e a sessão do PSC, acrescentando um servidor de autorização OAuth enxuto e interoperável. O cliente de IA recebe um token exclusivo para o MCP. A API de integração recebe uma credencial interna separada, vinculada ao mesmo usuário, consentimento e escopo. Não é necessário contratar SSO corporativo para implementar esse desenho.</w:t>
      </w:r>
    </w:p>
    <w:p>
      <w:r>
        <w:rPr>
          <w:b w:val="0"/>
        </w:rPr>
        <w:t>O objetivo imediato é um piloto privado, somente de consulta, validado no ChatGPT e no Claude. A publicação nos catálogos é uma etapa própria, dependente de segurança, materiais, regras de plataforma e revisão. Não há base para prometer publicação pública amanhã.</w:t>
      </w:r>
    </w:p>
    <w:p>
      <w:pPr>
        <w:pStyle w:val="Heading2"/>
      </w:pPr>
      <w:r>
        <w:t>Viabilidade atual</w:t>
      </w:r>
    </w:p>
    <w:p>
      <w:pPr>
        <w:pStyle w:val="ListBullet"/>
      </w:pPr>
      <w:r>
        <w:t>Técnica: viável em princípio, desde que o PSC permita provar a sessão no backend e o emissor atual possa ser adaptado. A pilha e os repositórios ainda precisam ser inspecionados.</w:t>
      </w:r>
    </w:p>
    <w:p>
      <w:pPr>
        <w:pStyle w:val="ListBullet"/>
      </w:pPr>
      <w:r>
        <w:t>Catálogos: consulta de saldo, posições e histórico de ordens é uma proposta passível de submissão. Ser somente leitura não assegura aprovação.</w:t>
      </w:r>
    </w:p>
    <w:p>
      <w:pPr>
        <w:pStyle w:val="ListBullet"/>
      </w:pPr>
      <w:r>
        <w:t>Limite financeiro: o v1 deve excluir criação, alteração e cancelamento de ordens, transferências e outros fluxos que facilitem transações. Excluir também links transacionais e instruções de execução do produto.</w:t>
      </w:r>
    </w:p>
    <w:p>
      <w:pPr>
        <w:pStyle w:val="ListBullet"/>
      </w:pPr>
      <w:r>
        <w:t>Dados: credenciais, CPF, dados PCI e detalhes desnecessários não entram nas ferramentas nem nas respostas. Dados de conta só saem após autorização e consentimento adequados.</w:t>
      </w:r>
    </w:p>
    <w:p>
      <w:pPr>
        <w:spacing w:before="40" w:after="120"/>
      </w:pPr>
      <w:r>
        <w:rPr>
          <w:i/>
          <w:sz w:val="18"/>
        </w:rPr>
        <w:t xml:space="preserve">Referências </w:t>
      </w:r>
      <w:hyperlink r:id="rId11">
        <w:r>
          <w:rPr>
            <w:color w:val="234F77"/>
            <w:sz w:val="18"/>
          </w:rPr>
          <w:t>[4] OpenAI Authentication</w:t>
        </w:r>
      </w:hyperlink>
      <w:r>
        <w:rPr>
          <w:sz w:val="18"/>
        </w:rPr>
        <w:t xml:space="preserve"> · </w:t>
      </w:r>
      <w:hyperlink r:id="rId12">
        <w:r>
          <w:rPr>
            <w:color w:val="234F77"/>
            <w:sz w:val="18"/>
          </w:rPr>
          <w:t>[6] OpenAI Plugin Guidelines</w:t>
        </w:r>
      </w:hyperlink>
      <w:r>
        <w:rPr>
          <w:sz w:val="18"/>
        </w:rPr>
        <w:t xml:space="preserve"> · </w:t>
      </w:r>
      <w:hyperlink r:id="rId13">
        <w:r>
          <w:rPr>
            <w:color w:val="234F77"/>
            <w:sz w:val="18"/>
          </w:rPr>
          <w:t>[7] OpenAI App Developer Terms</w:t>
        </w:r>
      </w:hyperlink>
      <w:r>
        <w:rPr>
          <w:sz w:val="18"/>
        </w:rPr>
        <w:t xml:space="preserve"> · </w:t>
      </w:r>
      <w:hyperlink r:id="rId14">
        <w:r>
          <w:rPr>
            <w:color w:val="234F77"/>
            <w:sz w:val="18"/>
          </w:rPr>
          <w:t>[8] Claude Authentication for connectors</w:t>
        </w:r>
      </w:hyperlink>
      <w:r>
        <w:rPr>
          <w:sz w:val="18"/>
        </w:rPr>
        <w:t xml:space="preserve"> · </w:t>
      </w:r>
      <w:hyperlink r:id="rId15">
        <w:r>
          <w:rPr>
            <w:color w:val="234F77"/>
            <w:sz w:val="18"/>
          </w:rPr>
          <w:t>[10] Anthropic Software Directory Policy</w:t>
        </w:r>
      </w:hyperlink>
    </w:p>
    <w:p>
      <w:pPr>
        <w:pStyle w:val="Heading2"/>
      </w:pPr>
      <w:r>
        <w:t>Como usar este plano</w:t>
      </w:r>
    </w:p>
    <w:p>
      <w:r>
        <w:rPr>
          <w:b w:val="0"/>
        </w:rPr>
        <w:t>As seções 1 a 11 definem a migração e o piloto. As seções 12 e 13 tratam de publicação e decisões. O anexo A contém um pedido pronto para o Claude Code; o anexo B reúne contratos ilustrativos; o anexo C preserva a fonte dos diagramas. Nomes de rotas, TTLs e estimativas são propostas para validar na auditoria, não descrições de código já existente.</w:t>
      </w:r>
    </w:p>
    <w:p>
      <w:r>
        <w:rPr>
          <w:b/>
        </w:rPr>
        <w:t>Nenhum repositório foi inspecionado ou modificado neste trabalho. Não houve deploy, cadastro em catálogo, aceite de termos ou consulta de ferramenta de negócio. O documento não contém credenciais.</w:t>
      </w:r>
    </w:p>
    <w:p>
      <w:pPr>
        <w:pStyle w:val="Heading1"/>
        <w:pageBreakBefore/>
      </w:pPr>
      <w:r>
        <w:t>1 Estado atual e auditoria inicial</w:t>
      </w:r>
    </w:p>
    <w:p>
      <w:pPr>
        <w:pStyle w:val="Heading2"/>
      </w:pPr>
      <w:r>
        <w:t>O que foi informado</w:t>
      </w:r>
    </w:p>
    <w:p>
      <w:r>
        <w:rPr>
          <w:b w:val="0"/>
        </w:rPr>
        <w:t>O PSC autentica por usuário e senha e mantém uma sessão que identifica o código do cliente. Um botão gera JWT com permissões, validade e identificação. A API de integração expõe /validate e recebe esse JWT para permitir consultas. O MCP encaminha a credencial à integração. Essas informações descrevem o fluxo relatado e ainda não substituem inspeção do código.</w:t>
      </w:r>
    </w:p>
    <w:p>
      <w:r>
        <w:rPr>
          <w:b w:val="0"/>
        </w:rPr>
        <w:t>Endpoint informado: https://api.safra.com.br/mcp. Observações recebidas: health respondeu HTTP 200; initialize respondeu HTTP 401 com bearer_token_invalido e trace 01a1564a-df77-7aab-9527-3097f26a549f. Nenhuma ferramenta de saldo, posição ou ordens foi executada. Esses sinais não provam causa do erro nem cobertura OAuth.</w:t>
      </w:r>
    </w:p>
    <w:p>
      <w:pPr>
        <w:pStyle w:val="Heading2"/>
      </w:pPr>
      <w:r>
        <w:t>Auditoria antes de alterar código</w:t>
      </w:r>
    </w:p>
    <w:p>
      <w:pPr>
        <w:pStyle w:val="ListBullet"/>
      </w:pPr>
      <w:r>
        <w:t>Identificar os repositórios reais, linguagem, framework, SDK MCP, versões suportadas, pipelines e responsáveis. Ler as instruções locais e executar os testes atuais antes de mudar dependências.</w:t>
      </w:r>
    </w:p>
    <w:p>
      <w:pPr>
        <w:pStyle w:val="ListBullet"/>
      </w:pPr>
      <w:r>
        <w:t>Traçar de ponta a ponta o botão de JWT: onde a sessão é validada, quem escolhe cliente e scopes, qual emissor e algoritmo assinam, qual audience existe, onde ficam chaves e como se revoga.</w:t>
      </w:r>
    </w:p>
    <w:p>
      <w:pPr>
        <w:pStyle w:val="ListBullet"/>
      </w:pPr>
      <w:r>
        <w:t>Ler /validate e seus consumidores: é introspecção, autenticação da própria API ou mera decodificação? Verificar se a resposta é usada como autorização e quais campos o chamador controla.</w:t>
      </w:r>
    </w:p>
    <w:p>
      <w:pPr>
        <w:pStyle w:val="ListBullet"/>
      </w:pPr>
      <w:r>
        <w:t>Catalogar endpoints de negócio e a relação usuário → contas → objetos. Verificar contas conjuntas, procurações, perfis de acesso e mudança de cliente na mesma sessão.</w:t>
      </w:r>
    </w:p>
    <w:p>
      <w:pPr>
        <w:pStyle w:val="ListBullet"/>
      </w:pPr>
      <w:r>
        <w:t>Inspecionar gateway, WAF e proxy: preservação de Authorization e WWW-Authenticate, transporte Streamable HTTP, HTTPS, timeouts, limites, cabeçalhos Origin e política CORS.</w:t>
      </w:r>
    </w:p>
    <w:p>
      <w:pPr>
        <w:pStyle w:val="ListBullet"/>
      </w:pPr>
      <w:r>
        <w:t>Mapear sessão PSC: cookie host-only ou compartilhado, HttpOnly, Secure, SameSite, domínio, store, expiração, rotação, logout e MFA. Não copiar cookies ou tokens para logs.</w:t>
      </w:r>
    </w:p>
    <w:p>
      <w:pPr>
        <w:pStyle w:val="ListBullet"/>
      </w:pPr>
      <w:r>
        <w:t>Verificar dependências já aprovadas para OAuth, assinatura, armazenamento de grants e identidade entre serviços. Preferir componentes mantidos à implementação artesanal de protocolo.</w:t>
      </w:r>
    </w:p>
    <w:p>
      <w:pPr>
        <w:pStyle w:val="Heading2"/>
      </w:pPr>
      <w:r>
        <w:t>Saída obrigatória da auditoria</w:t>
      </w:r>
    </w:p>
    <w:p>
      <w:r>
        <w:rPr>
          <w:b w:val="0"/>
        </w:rPr>
        <w:t>Produzir um mapa dos fluxos atuais, contratos e testes, com arquivo e função de origem; uma lista de lacunas; e uma decisão registrada sobre issuer, audience MCP, audience da integração e estratégia de credencial interna. Sem essa saída, qualquer prazo é apenas uma estimativa.</w:t>
      </w:r>
    </w:p>
    <w:p>
      <w:pPr>
        <w:pStyle w:val="Heading1"/>
        <w:pageBreakBefore/>
      </w:pPr>
      <w:r>
        <w:t>2 Arquitetura alvo de baixo custo</w:t>
      </w:r>
    </w:p>
    <w:p>
      <w:r>
        <w:rPr>
          <w:b w:val="0"/>
        </w:rPr>
        <w:t>O servidor OAuth pode ser um módulo do backend PSC ou um serviço pequeno na infraestrutura existente. Separar responsabilidades lógicas não obriga criar um produto de identidade, uma nova base de usuários ou um novo cluster.</w:t>
      </w:r>
    </w:p>
    <w:p>
      <w:r>
        <w:drawing>
          <wp:inline xmlns:a="http://schemas.openxmlformats.org/drawingml/2006/main" xmlns:pic="http://schemas.openxmlformats.org/drawingml/2006/picture">
            <wp:extent cx="6400800" cy="3851329"/>
            <wp:docPr id="1" name="Picture 1" descr="Diagrama técnico do fluxo OAuth e delegação do MCP Safra; fonte editável no Anexo C."/>
            <wp:cNvGraphicFramePr>
              <a:graphicFrameLocks noChangeAspect="1"/>
            </wp:cNvGraphicFramePr>
            <a:graphic>
              <a:graphicData uri="http://schemas.openxmlformats.org/drawingml/2006/picture">
                <pic:pic>
                  <pic:nvPicPr>
                    <pic:cNvPr id="0" name="arquitetura.png"/>
                    <pic:cNvPicPr/>
                  </pic:nvPicPr>
                  <pic:blipFill>
                    <a:blip r:embed="rId16"/>
                    <a:stretch>
                      <a:fillRect/>
                    </a:stretch>
                  </pic:blipFill>
                  <pic:spPr>
                    <a:xfrm>
                      <a:off x="0" y="0"/>
                      <a:ext cx="6400800" cy="3851329"/>
                    </a:xfrm>
                    <a:prstGeom prst="rect"/>
                  </pic:spPr>
                </pic:pic>
              </a:graphicData>
            </a:graphic>
          </wp:inline>
        </w:drawing>
      </w:r>
    </w:p>
    <w:p>
      <w:r>
        <w:rPr>
          <w:b w:val="0"/>
        </w:rPr>
        <w:t>Figura 1  Arquitetura proposta. Setas representam relações lógicas. A emissão interna pode ocorrer no próprio servidor OAuth; o MCP chama a integração diretamente com a credencial resultante.</w:t>
      </w:r>
    </w:p>
    <w:p>
      <w:pPr>
        <w:pStyle w:val="Heading2"/>
      </w:pPr>
      <w:r>
        <w:t>Três fronteiras de confiança</w:t>
      </w:r>
    </w:p>
    <w:p>
      <w:pPr>
        <w:pStyle w:val="ListBullet"/>
      </w:pPr>
      <w:r>
        <w:t>PSC: autentica a pessoa e confirma o vínculo com as contas. Somente o backend transforma a sessão em identidade confiável.</w:t>
      </w:r>
    </w:p>
    <w:p>
      <w:pPr>
        <w:pStyle w:val="ListBullet"/>
      </w:pPr>
      <w:r>
        <w:t>OAuth e MCP: registram consentimento, emitem e validam autorização para a audience https://api.safra.com.br/mcp. O cliente de IA não recebe senha nem cookie PSC.</w:t>
      </w:r>
    </w:p>
    <w:p>
      <w:pPr>
        <w:pStyle w:val="ListBullet"/>
      </w:pPr>
      <w:r>
        <w:t>Integração: valida uma credencial destinada à sua API e reaplica autorização por conta, objeto e operação. A assinatura válida de um JWT nunca substitui essa verificação.</w:t>
      </w:r>
    </w:p>
    <w:p>
      <w:r>
        <w:rPr>
          <w:b w:val="0"/>
        </w:rPr>
        <w:t>Economia vem de reutilizar login, cadastro, banco de dados, biblioteca de JWT, observabilidade e identidade de workload existentes. Não vem de aceitar qualquer client_id, retirar validação de audience ou usar uma credencial geral com customer_code livre.</w:t>
      </w:r>
    </w:p>
    <w:p>
      <w:pPr>
        <w:spacing w:before="40" w:after="120"/>
      </w:pPr>
      <w:r>
        <w:rPr>
          <w:i/>
          <w:sz w:val="18"/>
        </w:rPr>
        <w:t xml:space="preserve">Referências </w:t>
      </w:r>
      <w:hyperlink r:id="rId17">
        <w:r>
          <w:rPr>
            <w:color w:val="234F77"/>
            <w:sz w:val="18"/>
          </w:rPr>
          <w:t>[1] MCP Authorization 2026 07 28</w:t>
        </w:r>
      </w:hyperlink>
      <w:r>
        <w:rPr>
          <w:sz w:val="18"/>
        </w:rPr>
        <w:t xml:space="preserve"> · </w:t>
      </w:r>
      <w:hyperlink r:id="rId18">
        <w:r>
          <w:rPr>
            <w:color w:val="234F77"/>
            <w:sz w:val="18"/>
          </w:rPr>
          <w:t>[3] MCP Security Best Practices</w:t>
        </w:r>
      </w:hyperlink>
      <w:r>
        <w:rPr>
          <w:sz w:val="18"/>
        </w:rPr>
        <w:t xml:space="preserve"> · </w:t>
      </w:r>
      <w:hyperlink r:id="rId19">
        <w:r>
          <w:rPr>
            <w:color w:val="234F77"/>
            <w:sz w:val="18"/>
          </w:rPr>
          <w:t>[14] RFC 8707 Resource Indicators</w:t>
        </w:r>
      </w:hyperlink>
    </w:p>
    <w:p>
      <w:pPr>
        <w:pStyle w:val="Heading1"/>
        <w:pageBreakBefore/>
      </w:pPr>
      <w:r>
        <w:t>3 Sequência completa de conexão e consulta</w:t>
      </w:r>
    </w:p>
    <w:p>
      <w:r>
        <w:drawing>
          <wp:inline xmlns:a="http://schemas.openxmlformats.org/drawingml/2006/main" xmlns:pic="http://schemas.openxmlformats.org/drawingml/2006/picture">
            <wp:extent cx="6400800" cy="4510007"/>
            <wp:docPr id="2" name="Picture 2" descr="Diagrama técnico do fluxo OAuth e delegação do MCP Safra; fonte editável no Anexo C."/>
            <wp:cNvGraphicFramePr>
              <a:graphicFrameLocks noChangeAspect="1"/>
            </wp:cNvGraphicFramePr>
            <a:graphic>
              <a:graphicData uri="http://schemas.openxmlformats.org/drawingml/2006/picture">
                <pic:pic>
                  <pic:nvPicPr>
                    <pic:cNvPr id="0" name="sequencia.png"/>
                    <pic:cNvPicPr/>
                  </pic:nvPicPr>
                  <pic:blipFill>
                    <a:blip r:embed="rId20"/>
                    <a:stretch>
                      <a:fillRect/>
                    </a:stretch>
                  </pic:blipFill>
                  <pic:spPr>
                    <a:xfrm>
                      <a:off x="0" y="0"/>
                      <a:ext cx="6400800" cy="4510007"/>
                    </a:xfrm>
                    <a:prstGeom prst="rect"/>
                  </pic:spPr>
                </pic:pic>
              </a:graphicData>
            </a:graphic>
          </wp:inline>
        </w:drawing>
      </w:r>
    </w:p>
    <w:p>
      <w:r>
        <w:rPr>
          <w:b w:val="0"/>
        </w:rPr>
        <w:t>Figura 2  Fluxo proposto para uma conta autorizada. Na etapa 10, o MCP se autentica como serviço e usa a referência de grant já validada. A opção token exchange substitui essa etapa se escolhida posteriormente.</w:t>
      </w:r>
    </w:p>
    <w:p>
      <w:r>
        <w:rPr>
          <w:b w:val="0"/>
        </w:rPr>
        <w:t>O usuário inicia a conexão no cliente de IA. O PSC pede login apenas se a sessão não existir ou se a política exigir nova autenticação. Após o consentimento, o navegador transporta um código de uso único. A troca por tokens ocorre no token endpoint. Cada consulta passa novamente pelas verificações de autorização.</w:t>
      </w:r>
    </w:p>
    <w:p>
      <w:r>
        <w:rPr>
          <w:b w:val="0"/>
        </w:rPr>
        <w:t>A renovação do acesso do cliente de IA e a renovação da credencial interna são ciclos distintos. A seção 7 define como ambos terminam quando o consentimento é revogado.</w:t>
      </w:r>
    </w:p>
    <w:p>
      <w:pPr>
        <w:pStyle w:val="Heading1"/>
        <w:pageBreakBefore/>
      </w:pPr>
      <w:r>
        <w:t>4 Contrato OAuth e descoberta</w:t>
      </w:r>
    </w:p>
    <w:p>
      <w:pPr>
        <w:pStyle w:val="Heading2"/>
      </w:pPr>
      <w:r>
        <w:t>Identificadores a fixar</w:t>
      </w:r>
    </w:p>
    <w:p>
      <w:r>
        <w:rPr>
          <w:b w:val="0"/>
        </w:rPr>
        <w:t>Usar https://api.safra.com.br/mcp como resource canônico, incluindo /mcp e sem alternar barra final. Escolher um issuer HTTPS estável, por exemplo https://auth.safra.com.br. Esse host é ilustrativo: DNS, propriedade e disponibilidade não foram verificados. Um issuer com caminho também é possível, desde que seus caminhos well-known sejam calculados corretamente.</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Superfície</w:t>
            </w:r>
          </w:p>
        </w:tc>
        <w:tc>
          <w:tcPr>
            <w:tcW w:type="dxa" w:w="7704"/>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Contrato proposto</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MCP protegido</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HTTP 401 sem token válido; desafio Bearer com resource_metadata. Token válido com permissão insuficiente: HTTP 403 e insufficient_scope quando aplicável.</w:t>
            </w:r>
          </w:p>
        </w:tc>
      </w:tr>
      <w:tr>
        <w:trPr>
          <w:cantSplit/>
        </w:trPr>
        <w:tc>
          <w:tcPr>
            <w:tcW w:type="dxa" w:w="237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Metadados de recurso</w:t>
            </w:r>
          </w:p>
        </w:tc>
        <w:tc>
          <w:tcPr>
            <w:tcW w:type="dxa" w:w="77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GET /.well-known/oauth-protected-resource/mcp no host da API; resource exato, authorization_servers e scopes_supported mínimos.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Metadados do emissor</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GET /.well-known/oauth-authorization-server para issuer na raiz; URLs de authorize e token, response_types code, PKCE S256, métodos de cliente reais.</w:t>
            </w:r>
          </w:p>
        </w:tc>
      </w:tr>
      <w:tr>
        <w:trPr>
          <w:cantSplit/>
        </w:trPr>
        <w:tc>
          <w:tcPr>
            <w:tcW w:type="dxa" w:w="237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Autorização</w:t>
            </w:r>
          </w:p>
        </w:tc>
        <w:tc>
          <w:tcPr>
            <w:tcW w:type="dxa" w:w="77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GET /oauth/authorize valida cliente, callback, resource, scopes e PKCE; usa sessão PSC e consentimento.</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Troca e renovação</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POST /oauth/token com application/x-www-form-urlencoded; authorization_code e, se habilitado, refresh_token.</w:t>
            </w:r>
          </w:p>
        </w:tc>
      </w:tr>
      <w:tr>
        <w:trPr>
          <w:cantSplit/>
        </w:trPr>
        <w:tc>
          <w:tcPr>
            <w:tcW w:type="dxa" w:w="237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Chaves e revogação</w:t>
            </w:r>
          </w:p>
        </w:tc>
        <w:tc>
          <w:tcPr>
            <w:tcW w:type="dxa" w:w="77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JWKS público se tokens JWT; POST /oauth/revoke conforme política. Introspecção interna autenticada se adotada.</w:t>
            </w:r>
          </w:p>
        </w:tc>
      </w:tr>
    </w:tbl>
    <w:p>
      <w:r>
        <w:rPr>
          <w:b w:val="0"/>
        </w:rPr>
      </w:r>
    </w:p>
    <w:p>
      <w:r>
        <w:rPr>
          <w:b w:val="0"/>
        </w:rPr>
        <w:t>Manter a URL de metadados explícita no WWW-Authenticate elimina ambiguidade de descoberta. Testar também os caminhos well-known prescritos para o issuer escolhido. Os documentos de descoberta não exigem login e não podem depender de cookies do PSC.</w:t>
      </w:r>
    </w:p>
    <w:p>
      <w:pPr>
        <w:pStyle w:val="Heading2"/>
      </w:pPr>
      <w:r>
        <w:t>Exemplo de desafio sem credencial</w:t>
      </w:r>
    </w:p>
    <w:p>
      <w:pPr>
        <w:pStyle w:val="Code"/>
        <w:keepNext/>
      </w:pPr>
      <w:r>
        <w:t>HTTP/1.1 401 Unauthorized</w:t>
      </w:r>
    </w:p>
    <w:p>
      <w:pPr>
        <w:pStyle w:val="Code"/>
        <w:keepNext/>
      </w:pPr>
      <w:r>
        <w:t>WWW-Authenticate: Bearer</w:t>
      </w:r>
    </w:p>
    <w:p>
      <w:pPr>
        <w:pStyle w:val="Code"/>
        <w:keepNext/>
      </w:pPr>
      <w:r>
        <w:t xml:space="preserve">  resource_metadata="https://api.safra.com.br/.well-known/oauth-protected-resource/mcp",</w:t>
      </w:r>
    </w:p>
    <w:p>
      <w:pPr>
        <w:pStyle w:val="Code"/>
        <w:keepNext/>
      </w:pPr>
      <w:r>
        <w:t xml:space="preserve">  scope="balances:read positions:read orders:read"</w:t>
      </w:r>
    </w:p>
    <w:p>
      <w:pPr>
        <w:pStyle w:val="Code"/>
        <w:keepNext w:val="0"/>
      </w:pPr>
      <w:r>
        <w:t>Cache-Control: no-store</w:t>
      </w:r>
    </w:p>
    <w:p>
      <w:r>
        <w:rPr>
          <w:b w:val="0"/>
        </w:rPr>
        <w:t>No HTTP real, serializar o cabeçalho em uma única linha. Para token rejeitado, acrescentar error="invalid_token"; não expor detalhes de assinatura. O corpo pode manter um código de suporte e trace sem credenciais. Não responder 200 com erro textual quando a intenção é iniciar OAuth.</w:t>
      </w:r>
    </w:p>
    <w:p>
      <w:pPr>
        <w:spacing w:before="40" w:after="120"/>
      </w:pPr>
      <w:r>
        <w:rPr>
          <w:i/>
          <w:sz w:val="18"/>
        </w:rPr>
        <w:t xml:space="preserve">Referências </w:t>
      </w:r>
      <w:hyperlink r:id="rId21">
        <w:r>
          <w:rPr>
            <w:color w:val="234F77"/>
            <w:sz w:val="18"/>
          </w:rPr>
          <w:t>[12] RFC 8414 Authorization Server Metadata</w:t>
        </w:r>
      </w:hyperlink>
      <w:r>
        <w:rPr>
          <w:sz w:val="18"/>
        </w:rPr>
        <w:t xml:space="preserve"> · </w:t>
      </w:r>
      <w:hyperlink r:id="rId22">
        <w:r>
          <w:rPr>
            <w:color w:val="234F77"/>
            <w:sz w:val="18"/>
          </w:rPr>
          <w:t>[13] RFC 9728 Protected Resource Metadata</w:t>
        </w:r>
      </w:hyperlink>
      <w:r>
        <w:rPr>
          <w:sz w:val="18"/>
        </w:rPr>
        <w:t xml:space="preserve"> · </w:t>
      </w:r>
      <w:hyperlink r:id="rId23">
        <w:r>
          <w:rPr>
            <w:color w:val="234F77"/>
            <w:sz w:val="18"/>
          </w:rPr>
          <w:t>[23] RFC 6750 Bearer Token Usage</w:t>
        </w:r>
      </w:hyperlink>
    </w:p>
    <w:p>
      <w:pPr>
        <w:pStyle w:val="Heading1"/>
      </w:pPr>
      <w:r>
        <w:t>5 Clientes OAuth e callbacks seguros</w:t>
      </w:r>
    </w:p>
    <w:p>
      <w:pPr>
        <w:pStyle w:val="Heading2"/>
      </w:pPr>
      <w:r>
        <w:t>Escolha recomendada para o piloto</w:t>
      </w:r>
    </w:p>
    <w:p>
      <w:r>
        <w:rPr>
          <w:b w:val="0"/>
        </w:rPr>
        <w:t>Preferir CIMD se a biblioteca escolhida o implementa corretamente. Habilitar cliente público com PKCE S256 e método none atende ao caminho comum dos dois hosts. none significa ausência de segredo de cliente; não significa acesso sem login, sem consentimento ou sem validação de código.</w:t>
      </w:r>
    </w:p>
    <w:p>
      <w:r>
        <w:rPr>
          <w:b w:val="0"/>
        </w:rPr>
        <w:t>A especificação MCP consultada, versão 2026-07-28, recomenda CIMD e mantém DCR como compatibilidade depreciada. DCR não é requisito universal. Pré-cadastro também é válido, mas a configuração e a distribuição variam por plataforma. Não anunciar um mecanismo sem implementá-lo.</w:t>
      </w:r>
    </w:p>
    <w:tbl>
      <w:tblPr>
        <w:tblW w:type="auto" w:w="0"/>
        <w:jc w:val="center"/>
        <w:tblLayout w:type="fixed"/>
        <w:tblLook w:firstColumn="1" w:firstRow="1" w:lastColumn="0" w:lastRow="0" w:noHBand="0" w:noVBand="1" w:val="04A0"/>
      </w:tblPr>
      <w:tblGrid>
        <w:gridCol w:w="1584"/>
        <w:gridCol w:w="2952"/>
        <w:gridCol w:w="5544"/>
      </w:tblGrid>
      <w:tr>
        <w:trPr>
          <w:cantSplit/>
          <w:tblHeader/>
        </w:trPr>
        <w:tc>
          <w:tcPr>
            <w:tcW w:type="dxa" w:w="1584"/>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Mecanismo</w:t>
            </w:r>
          </w:p>
        </w:tc>
        <w:tc>
          <w:tcPr>
            <w:tcW w:type="dxa" w:w="2952"/>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Quando usar</w:t>
            </w:r>
          </w:p>
        </w:tc>
        <w:tc>
          <w:tcPr>
            <w:tcW w:type="dxa" w:w="5544"/>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Controles indispensáveis</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CIMD</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Primeira opção se já suportado</w:t>
            </w:r>
          </w:p>
        </w:tc>
        <w:tc>
          <w:tcPr>
            <w:tcW w:type="dxa" w:w="55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HTTPS; identidade do documento; JSON e callbacks válidos; cache limitado; proteção SSRF.</w:t>
            </w:r>
          </w:p>
        </w:tc>
      </w:tr>
      <w:tr>
        <w:trPr>
          <w:cantSplit/>
        </w:trPr>
        <w:tc>
          <w:tcPr>
            <w:tcW w:type="dxa" w:w="158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DCR</w:t>
            </w:r>
          </w:p>
        </w:tc>
        <w:tc>
          <w:tcPr>
            <w:tcW w:type="dxa" w:w="295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Compatibilidade comprovadamente necessária</w:t>
            </w:r>
          </w:p>
        </w:tc>
        <w:tc>
          <w:tcPr>
            <w:tcW w:type="dxa" w:w="554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Política explícita para clientes e redirect URIs; grants permitidos; quotas; expiração de cadastros inativos.</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Pré-cadastro</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Poucos clientes conhecidos</w:t>
            </w:r>
          </w:p>
        </w:tc>
        <w:tc>
          <w:tcPr>
            <w:tcW w:type="dxa" w:w="55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IDs/callbacks exatos por ambiente; segredo somente para cliente confidencial; confirmar suporte no host.</w:t>
            </w:r>
          </w:p>
        </w:tc>
      </w:tr>
    </w:tbl>
    <w:p>
      <w:r>
        <w:rPr>
          <w:b w:val="0"/>
        </w:rPr>
      </w:r>
    </w:p>
    <w:p>
      <w:pPr>
        <w:pStyle w:val="Heading2"/>
      </w:pPr>
      <w:r>
        <w:t>CIMD sem allow all</w:t>
      </w:r>
    </w:p>
    <w:p>
      <w:r>
        <w:rPr>
          <w:b w:val="0"/>
        </w:rPr>
        <w:t>No piloto, permitir apenas documentos de clientes oficiais e previamente verificados. Exigir que client_id do JSON coincida com a URL requisitada; comparar redirect_uri com os valores do documento e com a política local. Um nome “ChatGPT” no JSON não prova identidade. Buscar metadados com limite de bytes, timeout e cache; bloquear endereços privados, loopback e link-local, inclusive após DNS/redirect. Não seguir redirects para origem não aprovada. Falha de busca não libera callback novo.</w:t>
      </w:r>
    </w:p>
    <w:p>
      <w:pPr>
        <w:pStyle w:val="Heading2"/>
      </w:pPr>
      <w:r>
        <w:t>Diferenças dos hosts que afetam o código</w:t>
      </w:r>
    </w:p>
    <w:p>
      <w:pPr>
        <w:pStyle w:val="ListBullet"/>
      </w:pPr>
      <w:r>
        <w:t>ChatGPT: copiar client metadata URL e redirect URI exibidos no gerenciamento. Com suporte a iss, a documentação mostra callback estável; sem ele, há callback_id específico. Não construir um callback por suposição.</w:t>
      </w:r>
    </w:p>
    <w:p>
      <w:pPr>
        <w:pStyle w:val="ListBullet"/>
      </w:pPr>
      <w:r>
        <w:t>Claude: CIMD requer client_id_metadata_document_supported=true e none nos métodos do token endpoint. O callback hospedado documentado é https://claude.ai/api/mcp/auth_callback.</w:t>
      </w:r>
    </w:p>
    <w:p>
      <w:pPr>
        <w:pStyle w:val="ListBullet"/>
      </w:pPr>
      <w:r>
        <w:t>Claude Code: somente para cliente nativo verificado, permitir a exceção de porta efêmera em http://localhost/callback e http://127.0.0.1/callback. O host e caminho continuam exatos; isso não autoriza wildcard ou outro destino HTTP.</w:t>
      </w:r>
    </w:p>
    <w:p>
      <w:r>
        <w:rPr>
          <w:b w:val="0"/>
        </w:rPr>
        <w:t>DCR registra um cliente; não aprova automaticamente sua marca nem seu acesso a qualquer conta. Clientes desconhecidos devem ser recusados ou entrar em processo explícito de aprovação, sem quebrar o fluxo dos clientes suportados.</w:t>
      </w:r>
    </w:p>
    <w:p>
      <w:pPr>
        <w:spacing w:before="40" w:after="120"/>
      </w:pPr>
      <w:r>
        <w:rPr>
          <w:i/>
          <w:sz w:val="18"/>
        </w:rPr>
        <w:t xml:space="preserve">Referências </w:t>
      </w:r>
      <w:hyperlink r:id="rId24">
        <w:r>
          <w:rPr>
            <w:color w:val="234F77"/>
            <w:sz w:val="18"/>
          </w:rPr>
          <w:t>[2] MCP Client Registration</w:t>
        </w:r>
      </w:hyperlink>
      <w:r>
        <w:rPr>
          <w:sz w:val="18"/>
        </w:rPr>
        <w:t xml:space="preserve"> · </w:t>
      </w:r>
      <w:hyperlink r:id="rId11">
        <w:r>
          <w:rPr>
            <w:color w:val="234F77"/>
            <w:sz w:val="18"/>
          </w:rPr>
          <w:t>[4] OpenAI Authentication</w:t>
        </w:r>
      </w:hyperlink>
      <w:r>
        <w:rPr>
          <w:sz w:val="18"/>
        </w:rPr>
        <w:t xml:space="preserve"> · </w:t>
      </w:r>
      <w:hyperlink r:id="rId14">
        <w:r>
          <w:rPr>
            <w:color w:val="234F77"/>
            <w:sz w:val="18"/>
          </w:rPr>
          <w:t>[8] Claude Authentication for connectors</w:t>
        </w:r>
      </w:hyperlink>
      <w:r>
        <w:rPr>
          <w:sz w:val="18"/>
        </w:rPr>
        <w:t xml:space="preserve"> · </w:t>
      </w:r>
      <w:hyperlink r:id="rId25">
        <w:r>
          <w:rPr>
            <w:color w:val="234F77"/>
            <w:sz w:val="18"/>
          </w:rPr>
          <w:t>[20] RFC 7591 Dynamic Client Registration</w:t>
        </w:r>
      </w:hyperlink>
      <w:r>
        <w:rPr>
          <w:sz w:val="18"/>
        </w:rPr>
        <w:t xml:space="preserve"> · </w:t>
      </w:r>
      <w:hyperlink r:id="rId26">
        <w:r>
          <w:rPr>
            <w:color w:val="234F77"/>
            <w:sz w:val="18"/>
          </w:rPr>
          <w:t>[22] RFC 8252 OAuth for Native Apps</w:t>
        </w:r>
      </w:hyperlink>
    </w:p>
    <w:p>
      <w:pPr>
        <w:pStyle w:val="Heading1"/>
      </w:pPr>
      <w:r>
        <w:t>6 Reutilização da sessão PSC e emissão OAuth</w:t>
      </w:r>
    </w:p>
    <w:p>
      <w:pPr>
        <w:pStyle w:val="Heading2"/>
      </w:pPr>
      <w:r>
        <w:t>Como ligar a sessão existente ao authorize</w:t>
      </w:r>
    </w:p>
    <w:p>
      <w:pPr>
        <w:ind w:left="274" w:hanging="274"/>
      </w:pPr>
      <w:r>
        <w:t>1.  Validar client_id, redirect_uri, resource, scopes e challenge antes de redirecionar. Se o callback for inválido, mostrar erro local; nunca devolver code ou erro a um destino arbitrário.</w:t>
      </w:r>
    </w:p>
    <w:p>
      <w:pPr>
        <w:ind w:left="274" w:hanging="274"/>
      </w:pPr>
      <w:r>
        <w:t>2.  Criar uma transação OAuth de curta duração no backend. Guardar os parâmetros validados, CSRF e referência opaca. Usar essa referência para retornar do login; não confiar em campos escondidos da página.</w:t>
      </w:r>
    </w:p>
    <w:p>
      <w:pPr>
        <w:ind w:left="274" w:hanging="274"/>
      </w:pPr>
      <w:r>
        <w:t>3.  Consultar a sessão PSC no servidor. Se necessária nova autenticação, abrir o login Safra no navegador externo e aplicar as políticas existentes, incluindo MFA quando exigido. Não pedir senha dentro do chat.</w:t>
      </w:r>
    </w:p>
    <w:p>
      <w:pPr>
        <w:ind w:left="274" w:hanging="274"/>
      </w:pPr>
      <w:r>
        <w:t>4.  Resolver usuário e contas permitidas a partir da sessão. Se houver múltiplas contas, selecionar entre as autorizadas. Mostrar cliente de IA, dados liberados, escopos, duração e como desconectar.</w:t>
      </w:r>
    </w:p>
    <w:p>
      <w:pPr>
        <w:ind w:left="274" w:hanging="274"/>
      </w:pPr>
      <w:r>
        <w:t>5.  Gravar consentimento e grant. Emitir code aleatório, curto e de uso único; armazenar somente seu hash, ligado a usuário, cliente, callback, resource, scopes, challenge S256 e expiração.</w:t>
      </w:r>
    </w:p>
    <w:p>
      <w:pPr>
        <w:ind w:left="274" w:hanging="274"/>
      </w:pPr>
      <w:r>
        <w:t>6.  Redirecionar code, state original e iss para o callback validado. O cliente confere state e issuer. No token endpoint, consumir o code atomicamente apenas após validar o verifier e todos os vínculos.</w:t>
      </w:r>
    </w:p>
    <w:p>
      <w:pPr>
        <w:pStyle w:val="Heading2"/>
      </w:pPr>
      <w:r>
        <w:t>Quando PSC e OAuth têm origens diferentes</w:t>
      </w:r>
    </w:p>
    <w:p>
      <w:r>
        <w:rPr>
          <w:b w:val="0"/>
        </w:rPr>
        <w:t>Não presumir que um cookie de psc.safra.com.br chega a auth.safra.com.br. Primeira opção: montar a camada OAuth sob a origem do PSC com roteamento adequado. Segunda: sessão compartilhada somente no servidor, com referência segura e regras já aprovadas. Terceira: handoff de login com ticket opaco, de uso único e curtíssima duração, resgatado entre backends autenticados e vinculado à transação de autorização.</w:t>
      </w:r>
    </w:p>
    <w:p>
      <w:r>
        <w:rPr>
          <w:b w:val="0"/>
        </w:rPr>
        <w:t>Não ampliar Domain de cookie para todos os subdomínios apenas para fazer funcionar. Não usar JWT longo em query, fragment, localStorage ou postMessage sem validação de origem. Manter Secure, HttpOnly, defesa CSRF e rotação de sessão. Testar SameSite em navegação de topo, retorno de login, mobile e nova aba. CORS não resolve compartilhamento de sessão entre origens.</w:t>
      </w:r>
    </w:p>
    <w:p>
      <w:pPr>
        <w:pStyle w:val="Heading2"/>
      </w:pPr>
      <w:r>
        <w:t>Persistência mínima</w:t>
      </w:r>
    </w:p>
    <w:p>
      <w:r>
        <w:rPr>
          <w:b w:val="0"/>
        </w:rPr>
        <w:t>Tabelas ou entidades: oauth_clients; authorization_transactions; authorization_codes com hash e consumed_at; grants com usuário/conta/client/resource/scopes/status; refresh_token_families com hash e cadeia de rotação; audit_events sem segredos. Usar transações e índices únicos contra resgate duplo. A mesma solicitação concorrente não pode emitir dois pares de tokens.</w:t>
      </w:r>
    </w:p>
    <w:p>
      <w:pPr>
        <w:spacing w:before="40" w:after="120"/>
      </w:pPr>
      <w:r>
        <w:rPr>
          <w:i/>
          <w:sz w:val="18"/>
        </w:rPr>
        <w:t xml:space="preserve">Referências </w:t>
      </w:r>
      <w:hyperlink r:id="rId27">
        <w:r>
          <w:rPr>
            <w:color w:val="234F77"/>
            <w:sz w:val="18"/>
          </w:rPr>
          <w:t>[11] RFC 7636 PKCE</w:t>
        </w:r>
      </w:hyperlink>
      <w:r>
        <w:rPr>
          <w:sz w:val="18"/>
        </w:rPr>
        <w:t xml:space="preserve"> · </w:t>
      </w:r>
      <w:hyperlink r:id="rId28">
        <w:r>
          <w:rPr>
            <w:color w:val="234F77"/>
            <w:sz w:val="18"/>
          </w:rPr>
          <w:t>[19] RFC 9700 OAuth Security Best Current Practice</w:t>
        </w:r>
      </w:hyperlink>
      <w:r>
        <w:rPr>
          <w:sz w:val="18"/>
        </w:rPr>
        <w:t xml:space="preserve"> · </w:t>
      </w:r>
      <w:hyperlink r:id="rId29">
        <w:r>
          <w:rPr>
            <w:color w:val="234F77"/>
            <w:sz w:val="18"/>
          </w:rPr>
          <w:t>[21] RFC 9207 Issuer Identification</w:t>
        </w:r>
      </w:hyperlink>
    </w:p>
    <w:p>
      <w:pPr>
        <w:pStyle w:val="Heading1"/>
      </w:pPr>
      <w:r>
        <w:t>7 Tokens renovação e revogação</w:t>
      </w:r>
    </w:p>
    <w:p>
      <w:r>
        <w:rPr>
          <w:b w:val="0"/>
        </w:rPr>
        <w:t>Parâmetros abaixo são valores iniciais de engenharia, sujeitos à política Safra, risco e comportamento dos hosts. OAuth 2.1 ainda é referido pela especificação MCP como draft; implementar o perfil exigido e os RFCs aplicáveis, sem alegar certificação automática.</w:t>
      </w:r>
    </w:p>
    <w:tbl>
      <w:tblPr>
        <w:tblW w:type="auto" w:w="0"/>
        <w:jc w:val="center"/>
        <w:tblLayout w:type="fixed"/>
        <w:tblLook w:firstColumn="1" w:firstRow="1" w:lastColumn="0" w:lastRow="0" w:noHBand="0" w:noVBand="1" w:val="04A0"/>
      </w:tblPr>
      <w:tblGrid>
        <w:gridCol w:w="1872"/>
        <w:gridCol w:w="5832"/>
        <w:gridCol w:w="2376"/>
      </w:tblGrid>
      <w:tr>
        <w:trPr>
          <w:cantSplit/>
          <w:tblHeader/>
        </w:trPr>
        <w:tc>
          <w:tcPr>
            <w:tcW w:type="dxa" w:w="1872"/>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Artefato</w:t>
            </w:r>
          </w:p>
        </w:tc>
        <w:tc>
          <w:tcPr>
            <w:tcW w:type="dxa" w:w="5832"/>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Destino e conteúdo</w:t>
            </w:r>
          </w:p>
        </w:tc>
        <w:tc>
          <w:tcPr>
            <w:tcW w:type="dxa" w:w="2376"/>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Validade inicial proposta</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Code</w:t>
            </w:r>
          </w:p>
        </w:tc>
        <w:tc>
          <w:tcPr>
            <w:tcW w:type="dxa" w:w="58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Callback do cliente; hash no servidor; vinculado a PKCE</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60–120 segundos; um único resgate</w:t>
            </w:r>
          </w:p>
        </w:tc>
      </w:tr>
      <w:tr>
        <w:trPr>
          <w:cantSplit/>
        </w:trPr>
        <w:tc>
          <w:tcPr>
            <w:tcW w:type="dxa" w:w="18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Access token MCP</w:t>
            </w:r>
          </w:p>
        </w:tc>
        <w:tc>
          <w:tcPr>
            <w:tcW w:type="dxa" w:w="583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Cliente de IA → MCP; aud MCP; sub opaco; scope; grant_id</w:t>
            </w:r>
          </w:p>
        </w:tc>
        <w:tc>
          <w:tcPr>
            <w:tcW w:type="dxa" w:w="237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5–15 minutos</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Refresh token</w:t>
            </w:r>
          </w:p>
        </w:tc>
        <w:tc>
          <w:tcPr>
            <w:tcW w:type="dxa" w:w="58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Somente cliente de IA ↔ token endpoint; opaco e rotativo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Janela absoluta e inatividade definidas por Segurança; exemplo 7 dias e 24 h</w:t>
            </w:r>
          </w:p>
        </w:tc>
      </w:tr>
      <w:tr>
        <w:trPr>
          <w:cantSplit/>
        </w:trPr>
        <w:tc>
          <w:tcPr>
            <w:tcW w:type="dxa" w:w="18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Token interno</w:t>
            </w:r>
          </w:p>
        </w:tc>
        <w:tc>
          <w:tcPr>
            <w:tcW w:type="dxa" w:w="583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Somente MCP → integração; aud da API; conta autorizada e ator</w:t>
            </w:r>
          </w:p>
        </w:tc>
        <w:tc>
          <w:tcPr>
            <w:tcW w:type="dxa" w:w="237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 minutos; nunca além do grant/política delegada</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Sessão PSC</w:t>
            </w:r>
          </w:p>
        </w:tc>
        <w:tc>
          <w:tcPr>
            <w:tcW w:type="dxa" w:w="58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Browser ↔ PSC; cookie de sessão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Política atual; independente do token OAuth</w:t>
            </w:r>
          </w:p>
        </w:tc>
      </w:tr>
    </w:tbl>
    <w:p>
      <w:r>
        <w:rPr>
          <w:b w:val="0"/>
        </w:rPr>
      </w:r>
    </w:p>
    <w:p>
      <w:pPr>
        <w:pStyle w:val="Heading2"/>
      </w:pPr>
      <w:r>
        <w:t>Validação de JWT e formato de credenciais</w:t>
      </w:r>
    </w:p>
    <w:p>
      <w:r>
        <w:rPr>
          <w:b w:val="0"/>
        </w:rPr>
        <w:t>Para JWT de acesso, seguir um perfil consistente: assinatura assimétrica por biblioteca mantida, algoritmo permitido, kid resolvido em chaves do issuer configurado, iss, aud, exp, iat, sub, client_id, jti e scopes. Exigir typ=at+jwt se esse perfil for escolhido. nbf, se presente, é verificado. Claims de conta e grant são extensões próprias documentadas. Evitar CPF e dados patrimoniais dentro do token; JWT assinado não é criptografado.</w:t>
      </w:r>
    </w:p>
    <w:p>
      <w:r>
        <w:rPr>
          <w:b w:val="0"/>
        </w:rPr>
        <w:t>Token opaco com introspecção também funciona. Se /validate já é uma checagem central forte e disponível, essa opção pode simplificar revogação. Decodificar JWT sem verificar assinatura e contexto não autentica ninguém. ID token de OIDC e JWT legado não devem ser confundidos com access token MCP.</w:t>
      </w:r>
    </w:p>
    <w:p>
      <w:pPr>
        <w:pStyle w:val="Heading2"/>
      </w:pPr>
      <w:r>
        <w:t>Renovação</w:t>
      </w:r>
    </w:p>
    <w:p>
      <w:r>
        <w:rPr>
          <w:b w:val="0"/>
        </w:rPr>
        <w:t>O host usa refresh_token no token endpoint; rotacionar atomicamente, detectar reuso e revogar a família comprometida. Em concorrência legítima, usar mecanismo testado para não invalidar conexões por corrida. Não aumentar scopes nem trocar conta no refresh. Se revogado, expirado ou reautenticação exigida, devolver invalid_grant e iniciar nova conexão.</w:t>
      </w:r>
    </w:p>
    <w:p>
      <w:r>
        <w:rPr>
          <w:b w:val="0"/>
        </w:rPr>
        <w:t>O MCP renova a credencial interna pelo emissor, nunca pela senha do usuário. Cache opcional deve incluir grant, conta, audience, scopes e versão de revogação. Proibido cache global de token ou de resposta por nome de ferramenta.</w:t>
      </w:r>
    </w:p>
    <w:p>
      <w:pPr>
        <w:pStyle w:val="Heading2"/>
      </w:pPr>
      <w:r>
        <w:t>Revogar de ponta a ponta</w:t>
      </w:r>
    </w:p>
    <w:p>
      <w:r>
        <w:rPr>
          <w:b w:val="0"/>
        </w:rPr>
        <w:t>Desconectar no PSC marca o grant como revogado, invalida refresh e bloqueia nova emissão interna. Para corte imediato, MCP e integração consultam estado/versão de revogação por chamada ou via cache com SLA definido. JWT validado apenas localmente continua utilizável até expirar: documentar essa janela, não prometer revogação instantânea. Logout PSC e desconectar OAuth são ações distintas; decidir explicitamente quando logout global, bloqueio de conta ou troca de senha revogam grants.</w:t>
      </w:r>
    </w:p>
    <w:p>
      <w:pPr>
        <w:spacing w:before="40" w:after="120"/>
      </w:pPr>
      <w:r>
        <w:rPr>
          <w:i/>
          <w:sz w:val="18"/>
        </w:rPr>
        <w:t xml:space="preserve">Referências </w:t>
      </w:r>
      <w:hyperlink r:id="rId30">
        <w:r>
          <w:rPr>
            <w:color w:val="234F77"/>
            <w:sz w:val="18"/>
          </w:rPr>
          <w:t>[15] RFC 9068 JWT Access Tokens</w:t>
        </w:r>
      </w:hyperlink>
      <w:r>
        <w:rPr>
          <w:sz w:val="18"/>
        </w:rPr>
        <w:t xml:space="preserve"> · </w:t>
      </w:r>
      <w:hyperlink r:id="rId31">
        <w:r>
          <w:rPr>
            <w:color w:val="234F77"/>
            <w:sz w:val="18"/>
          </w:rPr>
          <w:t>[16] RFC 7662 Token Introspection</w:t>
        </w:r>
      </w:hyperlink>
      <w:r>
        <w:rPr>
          <w:sz w:val="18"/>
        </w:rPr>
        <w:t xml:space="preserve"> · </w:t>
      </w:r>
      <w:hyperlink r:id="rId32">
        <w:r>
          <w:rPr>
            <w:color w:val="234F77"/>
            <w:sz w:val="18"/>
          </w:rPr>
          <w:t>[17] RFC 7009 Token Revocation</w:t>
        </w:r>
      </w:hyperlink>
      <w:r>
        <w:rPr>
          <w:sz w:val="18"/>
        </w:rPr>
        <w:t xml:space="preserve"> · </w:t>
      </w:r>
      <w:hyperlink r:id="rId28">
        <w:r>
          <w:rPr>
            <w:color w:val="234F77"/>
            <w:sz w:val="18"/>
          </w:rPr>
          <w:t>[19] RFC 9700 OAuth Security Best Current Practice</w:t>
        </w:r>
      </w:hyperlink>
    </w:p>
    <w:p>
      <w:pPr>
        <w:pStyle w:val="Heading1"/>
      </w:pPr>
      <w:r>
        <w:t>8 Migração da API de integração e do validate</w:t>
      </w:r>
    </w:p>
    <w:p>
      <w:pPr>
        <w:pStyle w:val="Heading2"/>
      </w:pPr>
      <w:r>
        <w:t>O que deve mudar no fluxo atual</w:t>
      </w:r>
    </w:p>
    <w:p>
      <w:r>
        <w:rPr>
          <w:b w:val="0"/>
        </w:rPr>
        <w:t>Hoje, conforme o relato, o mesmo JWT gerado no PSC chega ao MCP e é encaminhado à API. No alvo, o access token recebido pelo MCP termina nessa fronteira. A API recebe outra credencial, emitida para sua audience. Manter o código de consulta e adaptar o middleware de autorização costuma ser menos invasivo que reescrever a API inteira.</w:t>
      </w:r>
    </w:p>
    <w:tbl>
      <w:tblPr>
        <w:tblW w:type="auto" w:w="0"/>
        <w:jc w:val="center"/>
        <w:tblLayout w:type="fixed"/>
        <w:tblLook w:firstColumn="1" w:firstRow="1" w:lastColumn="0" w:lastRow="0" w:noHBand="0" w:noVBand="1" w:val="04A0"/>
      </w:tblPr>
      <w:tblGrid>
        <w:gridCol w:w="1584"/>
        <w:gridCol w:w="3312"/>
        <w:gridCol w:w="5184"/>
      </w:tblGrid>
      <w:tr>
        <w:trPr>
          <w:cantSplit/>
          <w:tblHeader/>
        </w:trPr>
        <w:tc>
          <w:tcPr>
            <w:tcW w:type="dxa" w:w="1584"/>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Ponto</w:t>
            </w:r>
          </w:p>
        </w:tc>
        <w:tc>
          <w:tcPr>
            <w:tcW w:type="dxa" w:w="3312"/>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Atual a verificar</w:t>
            </w:r>
          </w:p>
        </w:tc>
        <w:tc>
          <w:tcPr>
            <w:tcW w:type="dxa" w:w="5184"/>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Alvo proposto</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Emissão</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Botão PSC gera JWT manual</w:t>
            </w:r>
          </w:p>
        </w:tc>
        <w:tc>
          <w:tcPr>
            <w:tcW w:type="dxa" w:w="51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Code + PKCE gera token MCP; emissão interna gera token de API</w:t>
            </w:r>
          </w:p>
        </w:tc>
      </w:tr>
      <w:tr>
        <w:trPr>
          <w:cantSplit/>
        </w:trPr>
        <w:tc>
          <w:tcPr>
            <w:tcW w:type="dxa" w:w="158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MCP</w:t>
            </w:r>
          </w:p>
        </w:tc>
        <w:tc>
          <w:tcPr>
            <w:tcW w:type="dxa" w:w="331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Repassa bearer recebido</w:t>
            </w:r>
          </w:p>
        </w:tc>
        <w:tc>
          <w:tcPr>
            <w:tcW w:type="dxa" w:w="518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Valida MCP bearer; deriva grant; obtém credencial interna</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/validate</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Semântica e audience desconhecidas</w:t>
            </w:r>
          </w:p>
        </w:tc>
        <w:tc>
          <w:tcPr>
            <w:tcW w:type="dxa" w:w="51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Perfis explícitos, validação completa e resposta estruturada</w:t>
            </w:r>
          </w:p>
        </w:tc>
      </w:tr>
      <w:tr>
        <w:trPr>
          <w:cantSplit/>
        </w:trPr>
        <w:tc>
          <w:tcPr>
            <w:tcW w:type="dxa" w:w="158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API de negócio</w:t>
            </w:r>
          </w:p>
        </w:tc>
        <w:tc>
          <w:tcPr>
            <w:tcW w:type="dxa" w:w="331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Autorização atual a auditar</w:t>
            </w:r>
          </w:p>
        </w:tc>
        <w:tc>
          <w:tcPr>
            <w:tcW w:type="dxa" w:w="518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Token da API + escopo + vínculo usuário/conta/objeto</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Renovação</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Possivelmente novo clique manual</w:t>
            </w:r>
          </w:p>
        </w:tc>
        <w:tc>
          <w:tcPr>
            <w:tcW w:type="dxa" w:w="51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Refresh OAuth e emissão interna próprios</w:t>
            </w:r>
          </w:p>
        </w:tc>
      </w:tr>
      <w:tr>
        <w:trPr>
          <w:cantSplit/>
        </w:trPr>
        <w:tc>
          <w:tcPr>
            <w:tcW w:type="dxa" w:w="158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Revogação</w:t>
            </w:r>
          </w:p>
        </w:tc>
        <w:tc>
          <w:tcPr>
            <w:tcW w:type="dxa" w:w="331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Capacidade atual desconhecida</w:t>
            </w:r>
          </w:p>
        </w:tc>
        <w:tc>
          <w:tcPr>
            <w:tcW w:type="dxa" w:w="518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Grant central; refresh inválido; delegação bloqueada</w:t>
            </w:r>
          </w:p>
        </w:tc>
      </w:tr>
    </w:tbl>
    <w:p>
      <w:r>
        <w:rPr>
          <w:b w:val="0"/>
        </w:rPr>
      </w:r>
    </w:p>
    <w:p>
      <w:pPr>
        <w:pStyle w:val="Heading2"/>
      </w:pPr>
      <w:r>
        <w:t>Três caminhos de implementação</w:t>
      </w:r>
    </w:p>
    <w:p>
      <w:r>
        <w:rPr>
          <w:b w:val="0"/>
        </w:rPr>
        <w:t>A  Adaptar o emissor existente. Se a rotina atual de JWT é segura e mantida, refatorá-la para emitir perfis separados: mcp_access e integration_delegation. O servidor OAuth usa o primeiro; uma operação interna autenticada usa o segundo. Reutiliza assinatura e cadastro, com allowlists de audience, scopes e consumidores. É a opção inicial se a auditoria confirmar baixo acoplamento.</w:t>
      </w:r>
    </w:p>
    <w:p>
      <w:r>
        <w:rPr>
          <w:b w:val="0"/>
        </w:rPr>
        <w:t>B  Emissão interna restrita. Criar um módulo pequeno que consulta o grant persistido e emite credencial da API, autenticando o workload MCP. Aceita grant_ref e operação pretendida; não aceita customer_code livre como fonte de autoridade. Retorna somente permissões contidas no grant e no vínculo atual da conta. Pode coexistir com o emissor legado durante a migração.</w:t>
      </w:r>
    </w:p>
    <w:p>
      <w:r>
        <w:rPr>
          <w:b w:val="0"/>
        </w:rPr>
        <w:t>C  OAuth Token Exchange. Adotar RFC 8693 se o stack já o suportar ou se houver vários serviços delegados. O MCP se autentica e troca um subject token validado por token com audience e scopes da integração. O endpoint é um emissor autorizado, não um endpoint de negócio que aceita qualquer bearer. Registrar ator e usuário. Acrescenta protocolo e testes; não é obrigatório para o MVP.</w:t>
      </w:r>
    </w:p>
    <w:p>
      <w:r>
        <w:rPr>
          <w:b w:val="0"/>
        </w:rPr>
        <w:t>Recomendação: decidir entre A e B após a auditoria; usar C apenas com benefício claro. Em nenhuma opção aceitar token destinado a outra API no MCP, remover aud ou fazer a integração aceitar indiscriminadamente o bearer externo.</w:t>
      </w:r>
    </w:p>
    <w:p>
      <w:pPr>
        <w:spacing w:before="40" w:after="120"/>
      </w:pPr>
      <w:r>
        <w:rPr>
          <w:i/>
          <w:sz w:val="18"/>
        </w:rPr>
        <w:t xml:space="preserve">Referências </w:t>
      </w:r>
      <w:hyperlink r:id="rId18">
        <w:r>
          <w:rPr>
            <w:color w:val="234F77"/>
            <w:sz w:val="18"/>
          </w:rPr>
          <w:t>[3] MCP Security Best Practices</w:t>
        </w:r>
      </w:hyperlink>
      <w:r>
        <w:rPr>
          <w:sz w:val="18"/>
        </w:rPr>
        <w:t xml:space="preserve"> · </w:t>
      </w:r>
      <w:hyperlink r:id="rId19">
        <w:r>
          <w:rPr>
            <w:color w:val="234F77"/>
            <w:sz w:val="18"/>
          </w:rPr>
          <w:t>[14] RFC 8707 Resource Indicators</w:t>
        </w:r>
      </w:hyperlink>
      <w:r>
        <w:rPr>
          <w:sz w:val="18"/>
        </w:rPr>
        <w:t xml:space="preserve"> · </w:t>
      </w:r>
      <w:hyperlink r:id="rId33">
        <w:r>
          <w:rPr>
            <w:color w:val="234F77"/>
            <w:sz w:val="18"/>
          </w:rPr>
          <w:t>[18] RFC 8693 Token Exchange</w:t>
        </w:r>
      </w:hyperlink>
    </w:p>
    <w:p>
      <w:pPr>
        <w:pStyle w:val="Heading1"/>
      </w:pPr>
      <w:r>
        <w:t>8 Migração da API de integração continuação</w:t>
      </w:r>
    </w:p>
    <w:p>
      <w:pPr>
        <w:pStyle w:val="Heading2"/>
      </w:pPr>
      <w:r>
        <w:t>Contrato seguro para a emissão interna</w:t>
      </w:r>
    </w:p>
    <w:p>
      <w:r>
        <w:rPr>
          <w:b w:val="0"/>
        </w:rPr>
        <w:t>Proposta ilustrativa: POST /internal/delegated-tokens, inacessível ao cliente de IA. O chamador precisa de identidade de serviço já gerenciada e autorização específica para delegar ao resource integration. A referência de grant não é bearer e não concede acesso sozinha.</w:t>
      </w:r>
    </w:p>
    <w:p>
      <w:pPr>
        <w:pStyle w:val="Code"/>
        <w:keepNext/>
      </w:pPr>
      <w:r>
        <w:t>POST /internal/delegated-tokens</w:t>
      </w:r>
    </w:p>
    <w:p>
      <w:pPr>
        <w:pStyle w:val="Code"/>
        <w:keepNext/>
      </w:pPr>
      <w:r>
        <w:t>Autenticação: identidade de workload MCP aprovada</w:t>
      </w:r>
    </w:p>
    <w:p>
      <w:pPr>
        <w:pStyle w:val="Code"/>
        <w:keepNext/>
      </w:pPr>
      <w:r>
        <w:t>{</w:t>
      </w:r>
    </w:p>
    <w:p>
      <w:pPr>
        <w:pStyle w:val="Code"/>
        <w:keepNext/>
      </w:pPr>
      <w:r>
        <w:t xml:space="preserve">  "grant_ref": "&lt;referencia obtida do token MCP validado&gt;",</w:t>
      </w:r>
    </w:p>
    <w:p>
      <w:pPr>
        <w:pStyle w:val="Code"/>
        <w:keepNext/>
      </w:pPr>
      <w:r>
        <w:t xml:space="preserve">  "target": "integration",</w:t>
      </w:r>
    </w:p>
    <w:p>
      <w:pPr>
        <w:pStyle w:val="Code"/>
        <w:keepNext/>
      </w:pPr>
      <w:r>
        <w:t xml:space="preserve">  "required_scopes": ["balances:read"]</w:t>
      </w:r>
    </w:p>
    <w:p>
      <w:pPr>
        <w:pStyle w:val="Code"/>
        <w:keepNext/>
      </w:pPr>
      <w:r>
        <w:t>}</w:t>
      </w:r>
    </w:p>
    <w:p>
      <w:pPr>
        <w:pStyle w:val="Code"/>
        <w:keepNext w:val="0"/>
      </w:pPr>
      <w:r>
        <w:t>Resposta: { "access_token": "&lt;somente backend&gt;", "expires_in": 120 }</w:t>
      </w:r>
    </w:p>
    <w:p>
      <w:r>
        <w:rPr>
          <w:b w:val="0"/>
        </w:rPr>
        <w:t>O emissor resolve conta e usuário no registro do grant; verifica status, ator autorizado, audience original, scopes concedidos e vínculo atual. A permissão final é a interseção entre grant, usuário, cliente, workload e operação. Negar grant desconhecido, expirado ou de outro contexto. O MCP nunca oferece esse endpoint como ferramenta.</w:t>
      </w:r>
    </w:p>
    <w:p>
      <w:pPr>
        <w:pStyle w:val="Heading2"/>
      </w:pPr>
      <w:r>
        <w:t>Como redesenhar o validate sem quebrar clientes</w:t>
      </w:r>
    </w:p>
    <w:p>
      <w:pPr>
        <w:ind w:left="274" w:hanging="274"/>
      </w:pPr>
      <w:r>
        <w:t>1.  Inventariar consumidores. Preservar /validate legado temporariamente para clientes legados identificados, com contrato e encerramento documentados. Não alterar sua semântica silenciosamente.</w:t>
      </w:r>
    </w:p>
    <w:p>
      <w:pPr>
        <w:ind w:left="274" w:hanging="274"/>
      </w:pPr>
      <w:r>
        <w:t>2.  Extrair núcleo de validação com perfis fechados. Exemplo: validate_mcp_access exige issuer MCP e audience MCP; validate_integration_delegation exige issuer interno, audience integração e ator permitido. A escolha do perfil vem da rota e identidade do serviço, nunca de parâmetro arbitrário do usuário.</w:t>
      </w:r>
    </w:p>
    <w:p>
      <w:pPr>
        <w:ind w:left="274" w:hanging="274"/>
      </w:pPr>
      <w:r>
        <w:t>3.  Preferir middleware local com JWKS + checagem de grant, ou introspecção central autenticada. Se /validate for usado como introspecção, alinhar contrato a RFC 7662 ou documentar que é API proprietária. Não chamar um JSON {valid:true} de introspecção padrão.</w:t>
      </w:r>
    </w:p>
    <w:p>
      <w:pPr>
        <w:ind w:left="274" w:hanging="274"/>
      </w:pPr>
      <w:r>
        <w:t>4.  Resposta interna inclui active, sub, scope, aud, exp, grant_ref e conta autorizada somente para consumidor permitido. Tokens inválidos não devolvem identidade útil. Proteger endpoint, rate-limit e redigir logs.</w:t>
      </w:r>
    </w:p>
    <w:p>
      <w:pPr>
        <w:ind w:left="274" w:hanging="274"/>
      </w:pPr>
      <w:r>
        <w:t>5.  Mesmo após validação central, a rota de negócio checa a operação e o objeto. Se uma ordem pertence a outra conta, negar sem revelar se ela existe. O código de cliente de um argumento nunca sobrepõe o contexto autenticado.</w:t>
      </w:r>
    </w:p>
    <w:p>
      <w:pPr>
        <w:pStyle w:val="Heading2"/>
      </w:pPr>
      <w:r>
        <w:t>Transição do JWT antigo</w:t>
      </w:r>
    </w:p>
    <w:p>
      <w:r>
        <w:rPr>
          <w:b w:val="0"/>
        </w:rPr>
        <w:t>Se ainda houver usuários manuais, isolá-los em rota ou política legada e impedir novos cadastros para o catálogo. A nova URL pública OAuth não pode fazer fallback silencioso para token legado. Desativar o botão para o piloto somente após comprovar o novo fluxo; depois avisar consumidores, reduzir validade e encerrar emissão manual. Rollback não pode reabrir passthrough inseguro.</w:t>
      </w:r>
    </w:p>
    <w:p>
      <w:pPr>
        <w:spacing w:before="40" w:after="120"/>
      </w:pPr>
      <w:r>
        <w:rPr>
          <w:i/>
          <w:sz w:val="18"/>
        </w:rPr>
        <w:t xml:space="preserve">Referências </w:t>
      </w:r>
      <w:hyperlink r:id="rId31">
        <w:r>
          <w:rPr>
            <w:color w:val="234F77"/>
            <w:sz w:val="18"/>
          </w:rPr>
          <w:t>[16] RFC 7662 Token Introspection</w:t>
        </w:r>
      </w:hyperlink>
      <w:r>
        <w:rPr>
          <w:sz w:val="18"/>
        </w:rPr>
        <w:t xml:space="preserve"> · </w:t>
      </w:r>
      <w:hyperlink r:id="rId33">
        <w:r>
          <w:rPr>
            <w:color w:val="234F77"/>
            <w:sz w:val="18"/>
          </w:rPr>
          <w:t>[18] RFC 8693 Token Exchange</w:t>
        </w:r>
      </w:hyperlink>
    </w:p>
    <w:p>
      <w:pPr>
        <w:pStyle w:val="Heading1"/>
      </w:pPr>
      <w:r>
        <w:t>9 Autorização ferramentas e dados</w:t>
      </w:r>
    </w:p>
    <w:p>
      <w:pPr>
        <w:pStyle w:val="Heading2"/>
      </w:pPr>
      <w:r>
        <w:t>Ferramentas mínimas sugeridas</w:t>
      </w:r>
    </w:p>
    <w:tbl>
      <w:tblPr>
        <w:tblW w:type="auto" w:w="0"/>
        <w:jc w:val="center"/>
        <w:tblLayout w:type="fixed"/>
        <w:tblLook w:firstColumn="1" w:firstRow="1" w:lastColumn="0" w:lastRow="0" w:noHBand="0" w:noVBand="1" w:val="04A0"/>
      </w:tblPr>
      <w:tblGrid>
        <w:gridCol w:w="2016"/>
        <w:gridCol w:w="1944"/>
        <w:gridCol w:w="6120"/>
      </w:tblGrid>
      <w:tr>
        <w:trPr>
          <w:cantSplit/>
          <w:tblHeader/>
        </w:trPr>
        <w:tc>
          <w:tcPr>
            <w:tcW w:type="dxa" w:w="2016"/>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Ferramenta proposta</w:t>
            </w:r>
          </w:p>
        </w:tc>
        <w:tc>
          <w:tcPr>
            <w:tcW w:type="dxa" w:w="1944"/>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Escopo</w:t>
            </w:r>
          </w:p>
        </w:tc>
        <w:tc>
          <w:tcPr>
            <w:tcW w:type="dxa" w:w="6120"/>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Comportamento</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get_balances</w:t>
            </w:r>
          </w:p>
        </w:tc>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balances:read</w:t>
            </w:r>
          </w:p>
        </w:tc>
        <w:tc>
          <w:tcPr>
            <w:tcW w:type="dxa" w:w="61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Saldo da conta autorizada; moeda, data base e origem</w:t>
            </w:r>
          </w:p>
        </w:tc>
      </w:tr>
      <w:tr>
        <w:trPr>
          <w:cantSplit/>
        </w:trPr>
        <w:tc>
          <w:tcPr>
            <w:tcW w:type="dxa" w:w="20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get_positions</w:t>
            </w:r>
          </w:p>
        </w:tc>
        <w:tc>
          <w:tcPr>
            <w:tcW w:type="dxa" w:w="194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positions:read</w:t>
            </w:r>
          </w:p>
        </w:tc>
        <w:tc>
          <w:tcPr>
            <w:tcW w:type="dxa" w:w="612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Posições paginadas; quantidade e valor com unidade e instante</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list_orders</w:t>
            </w:r>
          </w:p>
        </w:tc>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orders:read</w:t>
            </w:r>
          </w:p>
        </w:tc>
        <w:tc>
          <w:tcPr>
            <w:tcW w:type="dxa" w:w="61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Histórico ou estado de ordens existentes; filtros de data/status</w:t>
            </w:r>
          </w:p>
        </w:tc>
      </w:tr>
      <w:tr>
        <w:trPr>
          <w:cantSplit/>
        </w:trPr>
        <w:tc>
          <w:tcPr>
            <w:tcW w:type="dxa" w:w="20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get_order</w:t>
            </w:r>
          </w:p>
        </w:tc>
        <w:tc>
          <w:tcPr>
            <w:tcW w:type="dxa" w:w="194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orders:read</w:t>
            </w:r>
          </w:p>
        </w:tc>
        <w:tc>
          <w:tcPr>
            <w:tcW w:type="dxa" w:w="612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Ordem específica apenas após verificar pertencimento</w:t>
            </w:r>
          </w:p>
        </w:tc>
      </w:tr>
    </w:tbl>
    <w:p>
      <w:r>
        <w:rPr>
          <w:b w:val="0"/>
        </w:rPr>
      </w:r>
    </w:p>
    <w:p>
      <w:r>
        <w:rPr>
          <w:b w:val="0"/>
        </w:rPr>
        <w:t>São nomes propostos, não ferramentas observadas. “Ordens” neste documento significa consulta. Não publicar create_order, cancel_order, transfer, simulação executável, links de negociação ou ferramentas genéricas que chamem qualquer endpoint por URL.</w:t>
      </w:r>
    </w:p>
    <w:p>
      <w:pPr>
        <w:pStyle w:val="Heading2"/>
      </w:pPr>
      <w:r>
        <w:t>Enforcement em dois níveis</w:t>
      </w:r>
    </w:p>
    <w:p>
      <w:r>
        <w:rPr>
          <w:b w:val="0"/>
        </w:rPr>
        <w:t>No MCP, resolver identidade e conta do token/grant, verificar o escopo da ferramenta e limitar filtros. Na integração, repetir a autorização por conta e objeto com fonte de verdade atual. Se o usuário tiver várias contas, aceitar apenas seleção validada contra a lista do grant; reautorização é necessária para expandi-la.</w:t>
      </w:r>
    </w:p>
    <w:p>
      <w:r>
        <w:rPr>
          <w:b w:val="0"/>
        </w:rPr>
        <w:t>Marcar as ferramentas honestamente como leitura e não destrutivas; title, descrição, inputSchema e outputSchema devem ser claros. readOnlyHint é sinal para o host, não controle de segurança. Declarar securitySchemes compatíveis com o cliente OpenAI e preservar o comportamento padrão MCP. Só anunciar idempotência/openWorldHint quando a semântica real justificar.</w:t>
      </w:r>
    </w:p>
    <w:p>
      <w:pPr>
        <w:pStyle w:val="Heading2"/>
      </w:pPr>
      <w:r>
        <w:t>Limites e tratamento da informação</w:t>
      </w:r>
    </w:p>
    <w:p>
      <w:pPr>
        <w:pStyle w:val="ListBullet"/>
      </w:pPr>
      <w:r>
        <w:t>Usar schema fechado, enums, limites de intervalo, paginação e limites de registros. Proibir parâmetros de URL arbitrária, SQL, header e token.</w:t>
      </w:r>
    </w:p>
    <w:p>
      <w:pPr>
        <w:pStyle w:val="ListBullet"/>
      </w:pPr>
      <w:r>
        <w:t>Retornar somente o necessário: rótulo de conta mascarado, moeda, data de referência e precisão. Evitar CPF, endereço, documentos, credenciais e dados de outra pessoa.</w:t>
      </w:r>
    </w:p>
    <w:p>
      <w:pPr>
        <w:pStyle w:val="ListBullet"/>
      </w:pPr>
      <w:r>
        <w:t>Não confiar em instruções dentro de descrições de ativos, mensagens da API ou campos de texto. Tratar conteúdo como dados e impedir que altere ferramentas, destinatários ou política.</w:t>
      </w:r>
    </w:p>
    <w:p>
      <w:pPr>
        <w:pStyle w:val="ListBullet"/>
      </w:pPr>
      <w:r>
        <w:t>Registrar ator, usuário pseudonimizado, grant, ferramenta, recurso lógico, resultado e trace. Redigir Authorization, cookies, code, refresh, senha e payload financeiro dos logs.</w:t>
      </w:r>
    </w:p>
    <w:p>
      <w:pPr>
        <w:pStyle w:val="ListBullet"/>
      </w:pPr>
      <w:r>
        <w:t>Usar timeouts, limites por cliente/usuário, backoff para 429 e circuit breaker. Não repetir automaticamente operações de escrita; elas nem integram o v1.</w:t>
      </w:r>
    </w:p>
    <w:p>
      <w:r>
        <w:rPr>
          <w:b w:val="0"/>
        </w:rPr>
        <w:t>Revisar com Segurança, Privacidade e Compliance a finalidade, base legal, consentimento quando aplicável, retenção, sigilo bancário, processamento pelas plataformas e transferências de dados. Esta é uma exigência de governança do lançamento, não um parecer jurídico conclusivo.</w:t>
      </w:r>
    </w:p>
    <w:p>
      <w:pPr>
        <w:spacing w:before="40" w:after="120"/>
      </w:pPr>
      <w:r>
        <w:rPr>
          <w:i/>
          <w:sz w:val="18"/>
        </w:rPr>
        <w:t xml:space="preserve">Referências </w:t>
      </w:r>
      <w:hyperlink r:id="rId12">
        <w:r>
          <w:rPr>
            <w:color w:val="234F77"/>
            <w:sz w:val="18"/>
          </w:rPr>
          <w:t>[6] OpenAI Plugin Guidelines</w:t>
        </w:r>
      </w:hyperlink>
      <w:r>
        <w:rPr>
          <w:sz w:val="18"/>
        </w:rPr>
        <w:t xml:space="preserve"> · </w:t>
      </w:r>
      <w:hyperlink r:id="rId13">
        <w:r>
          <w:rPr>
            <w:color w:val="234F77"/>
            <w:sz w:val="18"/>
          </w:rPr>
          <w:t>[7] OpenAI App Developer Terms</w:t>
        </w:r>
      </w:hyperlink>
      <w:r>
        <w:rPr>
          <w:sz w:val="18"/>
        </w:rPr>
        <w:t xml:space="preserve"> · </w:t>
      </w:r>
      <w:hyperlink r:id="rId15">
        <w:r>
          <w:rPr>
            <w:color w:val="234F77"/>
            <w:sz w:val="18"/>
          </w:rPr>
          <w:t>[10] Anthropic Software Directory Policy</w:t>
        </w:r>
      </w:hyperlink>
    </w:p>
    <w:p>
      <w:pPr>
        <w:pStyle w:val="Heading1"/>
      </w:pPr>
      <w:r>
        <w:t>10 Plano por componente e repositório</w:t>
      </w:r>
    </w:p>
    <w:p>
      <w:r>
        <w:rPr>
          <w:b w:val="0"/>
        </w:rPr>
        <w:t>Os quatro blocos abaixo são responsabilidades lógicas. Podem existir em dois repositórios, monorepo ou mais serviços. Claude Code deve primeiro descobrir os caminhos reais e manter alterações pequenas e revisáveis.</w:t>
      </w:r>
    </w:p>
    <w:p>
      <w:pPr>
        <w:pStyle w:val="Heading2"/>
      </w:pPr>
      <w:r>
        <w:t>PSC frontend</w:t>
      </w:r>
    </w:p>
    <w:p>
      <w:pPr>
        <w:pStyle w:val="ListBullet"/>
      </w:pPr>
      <w:r>
        <w:t>Criar consentimento com nome do cliente validado, conta mascarada, scopes legíveis, finalidade, duração e opção cancelar. Evitar logos remotos não validados e nomes que induzam confiança.</w:t>
      </w:r>
    </w:p>
    <w:p>
      <w:pPr>
        <w:pStyle w:val="ListBullet"/>
      </w:pPr>
      <w:r>
        <w:t>Preservar a transação ao ir ao login; exibir erros sem detalhes sensíveis; testar navegador externo, sessão expirada, múltiplas abas e troca de conta.</w:t>
      </w:r>
    </w:p>
    <w:p>
      <w:pPr>
        <w:pStyle w:val="ListBullet"/>
      </w:pPr>
      <w:r>
        <w:t>Adicionar área de conexões autorizadas e revogação por grant. Migrar botão de JWT com feature flag e aviso de transição; não expor novo token na página.</w:t>
      </w:r>
    </w:p>
    <w:p>
      <w:pPr>
        <w:pStyle w:val="Heading2"/>
      </w:pPr>
      <w:r>
        <w:t>PSC backend e servidor OAuth</w:t>
      </w:r>
    </w:p>
    <w:p>
      <w:pPr>
        <w:pStyle w:val="ListBullet"/>
      </w:pPr>
      <w:r>
        <w:t>Reutilizar a sessão com prova server-side; implementar authorize, token, discovery, client policy e persistência de códigos/grants/refresh com biblioteca apropriada.</w:t>
      </w:r>
    </w:p>
    <w:p>
      <w:pPr>
        <w:pStyle w:val="ListBullet"/>
      </w:pPr>
      <w:r>
        <w:t>Implementar PKCE, código de uso único, vínculo de parâmetros, consentimento, rotação/revogar, política de conta e claims; publicar JWKS e planejar rotação de chaves.</w:t>
      </w:r>
    </w:p>
    <w:p>
      <w:pPr>
        <w:pStyle w:val="ListBullet"/>
      </w:pPr>
      <w:r>
        <w:t>Se escolhido, adicionar emissão interna; autenticar workload; definir política de delegação por recurso. Separar configurações e chaves/issuers por ambiente.</w:t>
      </w:r>
    </w:p>
    <w:p>
      <w:pPr>
        <w:pStyle w:val="Heading2"/>
      </w:pPr>
      <w:r>
        <w:t>API de integração</w:t>
      </w:r>
    </w:p>
    <w:p>
      <w:pPr>
        <w:pStyle w:val="ListBullet"/>
      </w:pPr>
      <w:r>
        <w:t>Auditar /validate; criar perfis explícitos e versão nova quando necessário; integrar o estado de grant e documentar compatibilidade. Não afrouxar validação antiga para receber token novo.</w:t>
      </w:r>
    </w:p>
    <w:p>
      <w:pPr>
        <w:pStyle w:val="ListBullet"/>
      </w:pPr>
      <w:r>
        <w:t>Aplicar middleware a todas as rotas de consulta. Exigir audience integração e escopo correto; conferir conta/objeto; remover customer_code arbitrário como autoridade.</w:t>
      </w:r>
    </w:p>
    <w:p>
      <w:pPr>
        <w:pStyle w:val="ListBullet"/>
      </w:pPr>
      <w:r>
        <w:t>Adicionar respostas sem dados em falhas, matriz de permissões, isolamento de caches, métricas e testes de revogação. Preservar contratos de dados existentes quando seguros.</w:t>
      </w:r>
    </w:p>
    <w:p>
      <w:pPr>
        <w:pStyle w:val="Heading2"/>
      </w:pPr>
      <w:r>
        <w:t>Servidor MCP e infraestrutura</w:t>
      </w:r>
    </w:p>
    <w:p>
      <w:pPr>
        <w:pStyle w:val="ListBullet"/>
      </w:pPr>
      <w:r>
        <w:t>Eliminar forwarding do bearer externo; validar token MCP por request; obter token interno pelo módulo escolhido. Publicar protected resource metadata e desafios corretos.</w:t>
      </w:r>
    </w:p>
    <w:p>
      <w:pPr>
        <w:pStyle w:val="ListBullet"/>
      </w:pPr>
      <w:r>
        <w:t>Definir ferramentas exclusivamente read-only com schemas e descrições; verificar initialize, notifications/initialized, tools/list e tools/call no transporte suportado.</w:t>
      </w:r>
    </w:p>
    <w:p>
      <w:pPr>
        <w:pStyle w:val="ListBullet"/>
      </w:pPr>
      <w:r>
        <w:t>Preservar headers de autenticação no proxy e CORS quando necessário, validar Origin, timeouts e egress. Separar liveness de readiness. Proteger logs e exportar métricas sem segredos.</w:t>
      </w:r>
    </w:p>
    <w:p>
      <w:pPr>
        <w:pStyle w:val="Heading2"/>
      </w:pPr>
      <w:r>
        <w:t>Entregáveis da implementação</w:t>
      </w:r>
    </w:p>
    <w:p>
      <w:r>
        <w:rPr>
          <w:b w:val="0"/>
        </w:rPr>
        <w:t>PRs por componente, migrações reversíveis, testes automatizados, configuração de exemplo sem chaves, ADR da arquitetura, guia de ambiente local, runbook, evidências de conexão real nos dois hosts e inventário de riscos restantes.</w:t>
      </w:r>
    </w:p>
    <w:p>
      <w:pPr>
        <w:pStyle w:val="Heading1"/>
      </w:pPr>
      <w:r>
        <w:t>11 Testes de aceite do piloto</w:t>
      </w:r>
    </w:p>
    <w:p>
      <w:r>
        <w:rPr>
          <w:b w:val="0"/>
        </w:rPr>
        <w:t>Executar com contas sintéticas ou autorizadas para teste. Guardar request/response sanitizados, versão do cliente e timestamp; não registrar bearer ou dados reais desnecessários. Cada linha deve ter resultado, evidência e responsável.</w:t>
      </w:r>
    </w:p>
    <w:tbl>
      <w:tblPr>
        <w:tblW w:type="auto" w:w="0"/>
        <w:jc w:val="center"/>
        <w:tblLayout w:type="fixed"/>
        <w:tblLook w:firstColumn="1" w:firstRow="1" w:lastColumn="0" w:lastRow="0" w:noHBand="0" w:noVBand="1" w:val="04A0"/>
      </w:tblPr>
      <w:tblGrid>
        <w:gridCol w:w="792"/>
        <w:gridCol w:w="3672"/>
        <w:gridCol w:w="5616"/>
      </w:tblGrid>
      <w:tr>
        <w:trPr>
          <w:cantSplit/>
          <w:tblHeader/>
        </w:trPr>
        <w:tc>
          <w:tcPr>
            <w:tcW w:type="dxa" w:w="792"/>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ID</w:t>
            </w:r>
          </w:p>
        </w:tc>
        <w:tc>
          <w:tcPr>
            <w:tcW w:type="dxa" w:w="3672"/>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Cenário</w:t>
            </w:r>
          </w:p>
        </w:tc>
        <w:tc>
          <w:tcPr>
            <w:tcW w:type="dxa" w:w="5616"/>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Resultado obrigatório</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T01</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Sem token; token expirado/assinatura falsa</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401 com desafio correto; nenhuma ferramenta de negócio executada</w:t>
            </w:r>
          </w:p>
        </w:tc>
      </w:tr>
      <w:tr>
        <w:trPr>
          <w:cantSplit/>
        </w:trPr>
        <w:tc>
          <w:tcPr>
            <w:tcW w:type="dxa" w:w="79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T02</w:t>
            </w:r>
          </w:p>
        </w:tc>
        <w:tc>
          <w:tcPr>
            <w:tcW w:type="dxa" w:w="36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Metadata e resource com /mcp</w:t>
            </w:r>
          </w:p>
        </w:tc>
        <w:tc>
          <w:tcPr>
            <w:tcW w:type="dxa" w:w="56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Descoberta completa; issuer e resource consistentes; sem cookie</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T03</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PKCE ausente, plain ou verifier incorreto</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Rejeição sem emitir token; aceitar somente S256</w:t>
            </w:r>
          </w:p>
        </w:tc>
      </w:tr>
      <w:tr>
        <w:trPr>
          <w:cantSplit/>
        </w:trPr>
        <w:tc>
          <w:tcPr>
            <w:tcW w:type="dxa" w:w="79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T04</w:t>
            </w:r>
          </w:p>
        </w:tc>
        <w:tc>
          <w:tcPr>
            <w:tcW w:type="dxa" w:w="36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Code repetido ou corrida de duas trocas</w:t>
            </w:r>
          </w:p>
        </w:tc>
        <w:tc>
          <w:tcPr>
            <w:tcW w:type="dxa" w:w="56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Uma emissão no máximo; tentativa posterior invalid_grant</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T05</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Callback manipulado ou client desconhecido</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Erro local/seguro; nenhum code ao destino não autorizado</w:t>
            </w:r>
          </w:p>
        </w:tc>
      </w:tr>
      <w:tr>
        <w:trPr>
          <w:cantSplit/>
        </w:trPr>
        <w:tc>
          <w:tcPr>
            <w:tcW w:type="dxa" w:w="79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T06</w:t>
            </w:r>
          </w:p>
        </w:tc>
        <w:tc>
          <w:tcPr>
            <w:tcW w:type="dxa" w:w="36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CIMD com SSRF, redirect ou JSON inválido</w:t>
            </w:r>
          </w:p>
        </w:tc>
        <w:tc>
          <w:tcPr>
            <w:tcW w:type="dxa" w:w="56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Bloqueio; nenhum acesso a rede privada; falha fechada</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T07</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Cliente logado e deslogado no PSC</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Consentimento correto; nenhuma senha no host de IA</w:t>
            </w:r>
          </w:p>
        </w:tc>
      </w:tr>
      <w:tr>
        <w:trPr>
          <w:cantSplit/>
        </w:trPr>
        <w:tc>
          <w:tcPr>
            <w:tcW w:type="dxa" w:w="79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T08</w:t>
            </w:r>
          </w:p>
        </w:tc>
        <w:tc>
          <w:tcPr>
            <w:tcW w:type="dxa" w:w="36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Token com audience/issuer/ambiente errado</w:t>
            </w:r>
          </w:p>
        </w:tc>
        <w:tc>
          <w:tcPr>
            <w:tcW w:type="dxa" w:w="56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Rejeitado na fronteira correta; sem fallback legado</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T09</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Scope insuficiente e escalada no refresh</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403 na ferramenta; renovação não amplia permissões</w:t>
            </w:r>
          </w:p>
        </w:tc>
      </w:tr>
      <w:tr>
        <w:trPr>
          <w:cantSplit/>
        </w:trPr>
        <w:tc>
          <w:tcPr>
            <w:tcW w:type="dxa" w:w="79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T10</w:t>
            </w:r>
          </w:p>
        </w:tc>
        <w:tc>
          <w:tcPr>
            <w:tcW w:type="dxa" w:w="36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Usuário A pede conta/ordem de B</w:t>
            </w:r>
          </w:p>
        </w:tc>
        <w:tc>
          <w:tcPr>
            <w:tcW w:type="dxa" w:w="56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Negado no MCP e integração; resposta não revela o objeto</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T11</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Duas contas e requests concorrentes</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Sem cruzamento de identidade, cache ou sessão MCP</w:t>
            </w:r>
          </w:p>
        </w:tc>
      </w:tr>
      <w:tr>
        <w:trPr>
          <w:cantSplit/>
        </w:trPr>
        <w:tc>
          <w:tcPr>
            <w:tcW w:type="dxa" w:w="79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T12</w:t>
            </w:r>
          </w:p>
        </w:tc>
        <w:tc>
          <w:tcPr>
            <w:tcW w:type="dxa" w:w="36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Refresh correto, repetido e simultâneo</w:t>
            </w:r>
          </w:p>
        </w:tc>
        <w:tc>
          <w:tcPr>
            <w:tcW w:type="dxa" w:w="56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Rotação consistente; reuso suspeito bloqueia a família</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T13</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Revogação no PSC com tokens em cache</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Bloqueio dentro do SLA declarado em ambas as fronteiras</w:t>
            </w:r>
          </w:p>
        </w:tc>
      </w:tr>
      <w:tr>
        <w:trPr>
          <w:cantSplit/>
        </w:trPr>
        <w:tc>
          <w:tcPr>
            <w:tcW w:type="dxa" w:w="79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T14</w:t>
            </w:r>
          </w:p>
        </w:tc>
        <w:tc>
          <w:tcPr>
            <w:tcW w:type="dxa" w:w="36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Token interno expirado ou grant revogado</w:t>
            </w:r>
          </w:p>
        </w:tc>
        <w:tc>
          <w:tcPr>
            <w:tcW w:type="dxa" w:w="56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Renova apenas se grant ativo; não usa credencial geral</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T15</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Rotação de chave e kid desconhecido</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Chaves legítimas funcionam; fallback inseguro inexistente</w:t>
            </w:r>
          </w:p>
        </w:tc>
      </w:tr>
      <w:tr>
        <w:trPr>
          <w:cantSplit/>
        </w:trPr>
        <w:tc>
          <w:tcPr>
            <w:tcW w:type="dxa" w:w="79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T16</w:t>
            </w:r>
          </w:p>
        </w:tc>
        <w:tc>
          <w:tcPr>
            <w:tcW w:type="dxa" w:w="36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API lenta, 429, 5xx e resposta inválida</w:t>
            </w:r>
          </w:p>
        </w:tc>
        <w:tc>
          <w:tcPr>
            <w:tcW w:type="dxa" w:w="56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Erro controlado; retries limitados; sem vazamento</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T17</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JWT manual no endpoint OAuth novo</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Rejeitado; compatibilidade só na via legada autorizada</w:t>
            </w:r>
          </w:p>
        </w:tc>
      </w:tr>
      <w:tr>
        <w:trPr>
          <w:cantSplit/>
        </w:trPr>
        <w:tc>
          <w:tcPr>
            <w:tcW w:type="dxa" w:w="79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T18</w:t>
            </w:r>
          </w:p>
        </w:tc>
        <w:tc>
          <w:tcPr>
            <w:tcW w:type="dxa" w:w="36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Todos os tools nos dois hosts</w:t>
            </w:r>
          </w:p>
        </w:tc>
        <w:tc>
          <w:tcPr>
            <w:tcW w:type="dxa" w:w="56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Resultados corretos, schemas estáveis e dados mínimos</w:t>
            </w:r>
          </w:p>
        </w:tc>
      </w:tr>
    </w:tbl>
    <w:p>
      <w:r>
        <w:rPr>
          <w:b w:val="0"/>
        </w:rPr>
      </w:r>
    </w:p>
    <w:p>
      <w:pPr>
        <w:pStyle w:val="Heading1"/>
      </w:pPr>
      <w:r>
        <w:t>11 Operação rollout e diagnóstico</w:t>
      </w:r>
    </w:p>
    <w:p>
      <w:pPr>
        <w:pStyle w:val="Heading2"/>
      </w:pPr>
      <w:r>
        <w:t>Portões de saída</w:t>
      </w:r>
    </w:p>
    <w:p>
      <w:r>
        <w:rPr>
          <w:b w:val="0"/>
        </w:rPr>
        <w:t>Piloto só entra em produção restrita após T01–T18 aprovados, revisão de código por outra pessoa, ausência de vulnerabilidade crítica/alta pendente e autorização interna para tratar os dados. Definir antes do teste: percentil de latência, disponibilidade, orçamento de erros, limite de chamadas e janela máxima de revogação. Proposta inicial de revogação: até 60 segundos; se a arquitetura não cumprir, reduzir a janela técnica ou declarar outro SLA aprovado.</w:t>
      </w:r>
    </w:p>
    <w:p>
      <w:pPr>
        <w:pStyle w:val="Heading2"/>
      </w:pPr>
      <w:r>
        <w:t>Rollout reversível</w:t>
      </w:r>
    </w:p>
    <w:p>
      <w:pPr>
        <w:ind w:left="274" w:hanging="274"/>
      </w:pPr>
      <w:r>
        <w:t>1.  Homologação isolada: dados sintéticos, clientes oficiais, novo issuer/audiences sem afetar os consumidores legados. Publicar descoberta apenas quando completa.</w:t>
      </w:r>
    </w:p>
    <w:p>
      <w:pPr>
        <w:ind w:left="274" w:hanging="274"/>
      </w:pPr>
      <w:r>
        <w:t>2.  Piloto com grupo autorizado: feature flag por usuário e cliente; ferramentas mínimas; observar autenticação, renovação, rejeições por conta e custo.</w:t>
      </w:r>
    </w:p>
    <w:p>
      <w:pPr>
        <w:ind w:left="274" w:hanging="274"/>
      </w:pPr>
      <w:r>
        <w:t>3.  Ampliar somente após uma janela que cubra expiração, refresh, logout/revogação e rotação ensaiada. A janela segue o ciclo real dos tokens, não apenas um teste feliz de cinco minutos.</w:t>
      </w:r>
    </w:p>
    <w:p>
      <w:pPr>
        <w:ind w:left="274" w:hanging="274"/>
      </w:pPr>
      <w:r>
        <w:t>4.  Encerrar emissão manual em etapas e registrar a última data suportada. Desativar legados por cliente identificado; monitorar rejeições e avisar donos antes do corte.</w:t>
      </w:r>
    </w:p>
    <w:p>
      <w:r>
        <w:rPr>
          <w:b w:val="0"/>
        </w:rPr>
        <w:t>Rollback: fechar novas autorizações e/ou chamadas MCP pela flag; revogar grants afetados se houver exposição; manter APIs legadas necessárias nos limites antigos; reverter deploy compatível e restaurar roteamento. Não restaurar aceitação de audience errada nem passthrough para fazer o piloto voltar. Migrações de dados devem preservar grants e revogações.</w:t>
      </w:r>
    </w:p>
    <w:p>
      <w:pPr>
        <w:pStyle w:val="Heading2"/>
      </w:pPr>
      <w:r>
        <w:t>Investigação do 401 informado</w:t>
      </w:r>
    </w:p>
    <w:p>
      <w:r>
        <w:rPr>
          <w:b w:val="0"/>
        </w:rPr>
        <w:t>O trace recebido é ponto de correlação, não diagnóstico. Primeiro localizar gateway e serviço que produziram bearer_token_invalido. Conferir se Authorization chegou íntegro, relógios, exp/nbf, issuer, audience, algoritmo, kid, rotação, ambiente e estado de revogação. Inspecionar claims apenas em ambiente seguro e sem exibir token. Comparar com a rotina emissora e contrato real de /validate.</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Sintoma</w:t>
            </w:r>
          </w:p>
        </w:tc>
        <w:tc>
          <w:tcPr>
            <w:tcW w:type="dxa" w:w="7776"/>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Verificações prioritárias</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Health 200 e initialize 401</w:t>
            </w:r>
          </w:p>
        </w:tc>
        <w:tc>
          <w:tcPr>
            <w:tcW w:type="dxa" w:w="77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Health não exige usuário; examinar autenticação e desafio, não presumir falha de transporte.</w:t>
            </w:r>
          </w:p>
        </w:tc>
      </w:tr>
      <w:tr>
        <w:trPr>
          <w:cantSplit/>
        </w:trPr>
        <w:tc>
          <w:tcPr>
            <w:tcW w:type="dxa" w:w="23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Nenhuma tela de login</w:t>
            </w:r>
          </w:p>
        </w:tc>
        <w:tc>
          <w:tcPr>
            <w:tcW w:type="dxa" w:w="777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HTTP 401 real; WWW-Authenticate preservado; well-known público; recurso e issuer corretos.</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invalid_client</w:t>
            </w:r>
          </w:p>
        </w:tc>
        <w:tc>
          <w:tcPr>
            <w:tcW w:type="dxa" w:w="77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Modo CIMD/DCR/pré-cadastro, método do token endpoint e cadastro ainda válido.</w:t>
            </w:r>
          </w:p>
        </w:tc>
      </w:tr>
      <w:tr>
        <w:trPr>
          <w:cantSplit/>
        </w:trPr>
        <w:tc>
          <w:tcPr>
            <w:tcW w:type="dxa" w:w="23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invalid_grant</w:t>
            </w:r>
          </w:p>
        </w:tc>
        <w:tc>
          <w:tcPr>
            <w:tcW w:type="dxa" w:w="777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Code consumido/expirado, verifier, callback, resource e política de refresh.</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Loop de login</w:t>
            </w:r>
          </w:p>
        </w:tc>
        <w:tc>
          <w:tcPr>
            <w:tcW w:type="dxa" w:w="77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Cookie e origem PSC, SameSite, transação perdida, iss/callback e relógios.</w:t>
            </w:r>
          </w:p>
        </w:tc>
      </w:tr>
      <w:tr>
        <w:trPr>
          <w:cantSplit/>
        </w:trPr>
        <w:tc>
          <w:tcPr>
            <w:tcW w:type="dxa" w:w="23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MCP funciona e API nega</w:t>
            </w:r>
          </w:p>
        </w:tc>
        <w:tc>
          <w:tcPr>
            <w:tcW w:type="dxa" w:w="777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Token interno, audience, scopes, conta, ator e grant; não remover a checagem.</w:t>
            </w:r>
          </w:p>
        </w:tc>
      </w:tr>
    </w:tbl>
    <w:p>
      <w:r>
        <w:rPr>
          <w:b w:val="0"/>
        </w:rPr>
      </w:r>
    </w:p>
    <w:p>
      <w:pPr>
        <w:pStyle w:val="Heading1"/>
      </w:pPr>
      <w:r>
        <w:t>12 Publicação no ChatGPT e no Claude</w:t>
      </w:r>
    </w:p>
    <w:p>
      <w:pPr>
        <w:pStyle w:val="Heading2"/>
      </w:pPr>
      <w:r>
        <w:t>Conectar por URL e aparecer no catálogo</w:t>
      </w:r>
    </w:p>
    <w:p>
      <w:r>
        <w:rPr>
          <w:b w:val="0"/>
        </w:rPr>
        <w:t>Uma conexão privada por URL permite testar o serviço com usuários e contas elegíveis. Não publica uma ficha para o público, não significa validação de segurança pela plataforma e não afasta os termos aplicáveis. A rota pública envolve materiais de produto e o processo atual de cada diretório.</w:t>
      </w:r>
    </w:p>
    <w:p>
      <w:r>
        <w:rPr>
          <w:b w:val="0"/>
        </w:rPr>
        <w:t>As fontes consultadas usam “Plugins” no portal OpenAI e “MCP connector” no portal Claude. O mesmo servidor pode ter uma integração para cada host, sem compartilhar identidade de cliente, segredo ou consentimento entre eles.</w:t>
      </w:r>
    </w:p>
    <w:p>
      <w:pPr>
        <w:pStyle w:val="Heading2"/>
      </w:pPr>
      <w:r>
        <w:t>ChatGPT</w:t>
      </w:r>
    </w:p>
    <w:p>
      <w:r>
        <w:rPr>
          <w:b w:val="0"/>
        </w:rPr>
        <w:t>Enviar pacote ZIP com a conexão MCP pelo fluxo atual de plugins. O processo exige HTTPS estável, identidade publicadora verificada e comprovação de domínio. A revisão inicial pede exatamente cinco testes positivos e três negativos, vídeo de demonstração, notas da versão e conta de avaliação com dados fictícios. Publicar somente após aprovação. A página de revisão indica indisponibilidade de submissão para projeto com residência de dados na UE; confirmar projeto global elegível antes de planejar a submissão.</w:t>
      </w:r>
    </w:p>
    <w:p>
      <w:r>
        <w:rPr>
          <w:b w:val="0"/>
        </w:rPr>
        <w:t>A ficha precisa de URLs de produto, suporte, privacidade e termos, além de escopo e requisitos de conta claros. A conta dedicada do revisor precisa funcionar sem aprovar MFA, SMS, e-mail, magic link ou rede privada; isso não autoriza enfraquecer o login de clientes reais. Entregar credenciais só pelo canal seguro do portal e nunca dentro do ZIP. UI própria é opcional.</w:t>
      </w:r>
    </w:p>
    <w:p>
      <w:pPr>
        <w:pStyle w:val="Heading2"/>
      </w:pPr>
      <w:r>
        <w:t>Claude</w:t>
      </w:r>
    </w:p>
    <w:p>
      <w:r>
        <w:rPr>
          <w:b w:val="0"/>
        </w:rPr>
        <w:t>Submeter servidor remoto HTTPS pelo portal claude.ai/directory/manage, tipo MCP connector, após teste como custom connector. Preparar documentação, privacidade, suporte, ícone, empresa, casos de uso, configuração OAuth, conta de teste populada e roteiro. Todas as ferramentas precisam de title e indicação aplicável de leitura/destruição. Imagens de carrossel são exigidas para MCP Apps com interface.</w:t>
      </w:r>
    </w:p>
    <w:p>
      <w:r>
        <w:rPr>
          <w:b w:val="0"/>
        </w:rPr>
        <w:t>Qualquer plano pago pode submeter, observadas as funções e regras da organização. O processo atual descreve análise automática e listagem Community por padrão, com revisão humana em alguns casos; Verified é distinto. Preparar ao menos três casos de uso funcionais. Usar Streamable HTTP; não iniciar uma integração nova dependente apenas do SSE legado. Não prometer prazo de revisão ou inclusão.</w:t>
      </w:r>
    </w:p>
    <w:p>
      <w:pPr>
        <w:pStyle w:val="Heading2"/>
      </w:pPr>
      <w:r>
        <w:t>Limite financeiro e conclusão de viabilidade</w:t>
      </w:r>
    </w:p>
    <w:p>
      <w:r>
        <w:rPr>
          <w:b w:val="0"/>
        </w:rPr>
        <w:t>OpenAI proíbe iniciar, executar ou facilitar transações financeiras/investimentos por meio dos Serviços. A política Claude também veda facilitar transações. Saldo, posições e histórico consultivo não aparecem como proibição geral nas fontes verificadas; essa é uma avaliação de enquadramento, sujeita às condições e à revisão, não uma autorização concedida pelas plataformas.</w:t>
      </w:r>
    </w:p>
    <w:p>
      <w:r>
        <w:rPr>
          <w:b w:val="0"/>
        </w:rPr>
        <w:t>Manter o produto informativo, com dados minimizados e consentimento claro. Excluir trades, transferências, cancelamentos, abertura de fluxo transacional e recomendações personalizadas que façam o produto mudar de natureza. Jurídico e Compliance devem revisar o escopo financeiro, termos e divulgação dos dados antes da submissão.</w:t>
      </w:r>
    </w:p>
    <w:p>
      <w:pPr>
        <w:spacing w:before="40" w:after="120"/>
      </w:pPr>
      <w:r>
        <w:rPr>
          <w:i/>
          <w:sz w:val="18"/>
        </w:rPr>
        <w:t xml:space="preserve">Referências </w:t>
      </w:r>
      <w:hyperlink r:id="rId34">
        <w:r>
          <w:rPr>
            <w:color w:val="234F77"/>
            <w:sz w:val="18"/>
          </w:rPr>
          <w:t>[5] OpenAI Submit and publish</w:t>
        </w:r>
      </w:hyperlink>
      <w:r>
        <w:rPr>
          <w:sz w:val="18"/>
        </w:rPr>
        <w:t xml:space="preserve"> · </w:t>
      </w:r>
      <w:hyperlink r:id="rId13">
        <w:r>
          <w:rPr>
            <w:color w:val="234F77"/>
            <w:sz w:val="18"/>
          </w:rPr>
          <w:t>[7] OpenAI App Developer Terms</w:t>
        </w:r>
      </w:hyperlink>
      <w:r>
        <w:rPr>
          <w:sz w:val="18"/>
        </w:rPr>
        <w:t xml:space="preserve"> · </w:t>
      </w:r>
      <w:hyperlink r:id="rId35">
        <w:r>
          <w:rPr>
            <w:color w:val="234F77"/>
            <w:sz w:val="18"/>
          </w:rPr>
          <w:t>[9] Claude Submit a connector</w:t>
        </w:r>
      </w:hyperlink>
      <w:r>
        <w:rPr>
          <w:sz w:val="18"/>
        </w:rPr>
        <w:t xml:space="preserve"> · </w:t>
      </w:r>
      <w:hyperlink r:id="rId15">
        <w:r>
          <w:rPr>
            <w:color w:val="234F77"/>
            <w:sz w:val="18"/>
          </w:rPr>
          <w:t>[10] Anthropic Software Directory Policy</w:t>
        </w:r>
      </w:hyperlink>
      <w:r>
        <w:rPr>
          <w:sz w:val="18"/>
        </w:rPr>
        <w:t xml:space="preserve"> · </w:t>
      </w:r>
      <w:hyperlink r:id="rId36">
        <w:r>
          <w:rPr>
            <w:color w:val="234F77"/>
            <w:sz w:val="18"/>
          </w:rPr>
          <w:t>[24] OpenAI MCP review requirements</w:t>
        </w:r>
      </w:hyperlink>
      <w:r>
        <w:rPr>
          <w:sz w:val="18"/>
        </w:rPr>
        <w:t xml:space="preserve"> · </w:t>
      </w:r>
      <w:hyperlink r:id="rId37">
        <w:r>
          <w:rPr>
            <w:color w:val="234F77"/>
            <w:sz w:val="18"/>
          </w:rPr>
          <w:t>[25] Claude Connector review criteria</w:t>
        </w:r>
      </w:hyperlink>
      <w:r>
        <w:rPr>
          <w:sz w:val="18"/>
        </w:rPr>
        <w:t xml:space="preserve"> · </w:t>
      </w:r>
      <w:hyperlink r:id="rId38">
        <w:r>
          <w:rPr>
            <w:color w:val="234F77"/>
            <w:sz w:val="18"/>
          </w:rPr>
          <w:t>[26] Claude Directory versus custom connectors</w:t>
        </w:r>
      </w:hyperlink>
      <w:r>
        <w:rPr>
          <w:sz w:val="18"/>
        </w:rPr>
        <w:t xml:space="preserve"> · </w:t>
      </w:r>
      <w:hyperlink r:id="rId39">
        <w:r>
          <w:rPr>
            <w:color w:val="234F77"/>
            <w:sz w:val="18"/>
          </w:rPr>
          <w:t>[27] Anthropic Software Directory Terms</w:t>
        </w:r>
      </w:hyperlink>
    </w:p>
    <w:p>
      <w:pPr>
        <w:pStyle w:val="Heading1"/>
      </w:pPr>
      <w:r>
        <w:t>12 Checklist de submissão independente do piloto</w:t>
      </w:r>
    </w:p>
    <w:p>
      <w:r>
        <w:rPr>
          <w:b w:val="0"/>
        </w:rPr>
        <w:t>A equipe pode preparar estes materiais enquanto implementa OAuth, mas só deve declarar requisitos cumpridos após evidência.</w:t>
      </w:r>
    </w:p>
    <w:tbl>
      <w:tblPr>
        <w:tblW w:type="auto" w:w="0"/>
        <w:jc w:val="center"/>
        <w:tblLayout w:type="fixed"/>
        <w:tblLook w:firstColumn="1" w:firstRow="1" w:lastColumn="0" w:lastRow="0" w:noHBand="0" w:noVBand="1" w:val="04A0"/>
      </w:tblPr>
      <w:tblGrid>
        <w:gridCol w:w="2016"/>
        <w:gridCol w:w="5904"/>
        <w:gridCol w:w="2160"/>
      </w:tblGrid>
      <w:tr>
        <w:trPr>
          <w:cantSplit/>
          <w:tblHeader/>
        </w:trPr>
        <w:tc>
          <w:tcPr>
            <w:tcW w:type="dxa" w:w="2016"/>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Item</w:t>
            </w:r>
          </w:p>
        </w:tc>
        <w:tc>
          <w:tcPr>
            <w:tcW w:type="dxa" w:w="5904"/>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Evidência necessária</w:t>
            </w:r>
          </w:p>
        </w:tc>
        <w:tc>
          <w:tcPr>
            <w:tcW w:type="dxa" w:w="2160"/>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Responsável sugerido</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Titularidade</w:t>
            </w:r>
          </w:p>
        </w:tc>
        <w:tc>
          <w:tcPr>
            <w:tcW w:type="dxa" w:w="59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Autorização para usar marca, domínio, API e conta publicadora</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Produto e Jurídico</w:t>
            </w:r>
          </w:p>
        </w:tc>
      </w:tr>
      <w:tr>
        <w:trPr>
          <w:cantSplit/>
        </w:trPr>
        <w:tc>
          <w:tcPr>
            <w:tcW w:type="dxa" w:w="20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Escopo permitido</w:t>
            </w:r>
          </w:p>
        </w:tc>
        <w:tc>
          <w:tcPr>
            <w:tcW w:type="dxa" w:w="59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Lista read-only e exclusão de fluxos transacionais</w:t>
            </w:r>
          </w:p>
        </w:tc>
        <w:tc>
          <w:tcPr>
            <w:tcW w:type="dxa" w:w="216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Produto e Compliance</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OAuth interoperável</w:t>
            </w:r>
          </w:p>
        </w:tc>
        <w:tc>
          <w:tcPr>
            <w:tcW w:type="dxa" w:w="59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Testes de login, consentimento, refresh e revogação nos dois hosts</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PSC e MCP</w:t>
            </w:r>
          </w:p>
        </w:tc>
      </w:tr>
      <w:tr>
        <w:trPr>
          <w:cantSplit/>
        </w:trPr>
        <w:tc>
          <w:tcPr>
            <w:tcW w:type="dxa" w:w="20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Confiabilidade</w:t>
            </w:r>
          </w:p>
        </w:tc>
        <w:tc>
          <w:tcPr>
            <w:tcW w:type="dxa" w:w="59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HTTPS, endpoints públicos estáveis, limites, métricas e suporte</w:t>
            </w:r>
          </w:p>
        </w:tc>
        <w:tc>
          <w:tcPr>
            <w:tcW w:type="dxa" w:w="216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Infra e operação</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Dados e privacidade</w:t>
            </w:r>
          </w:p>
        </w:tc>
        <w:tc>
          <w:tcPr>
            <w:tcW w:type="dxa" w:w="59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Política publicada; finalidade, retenção, direitos e compartilhamento</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Privacidade e Jurídico</w:t>
            </w:r>
          </w:p>
        </w:tc>
      </w:tr>
      <w:tr>
        <w:trPr>
          <w:cantSplit/>
        </w:trPr>
        <w:tc>
          <w:tcPr>
            <w:tcW w:type="dxa" w:w="20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Descrição de ferramentas</w:t>
            </w:r>
          </w:p>
        </w:tc>
        <w:tc>
          <w:tcPr>
            <w:tcW w:type="dxa" w:w="59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Schemas, titles, annotations, erros e exemplos precisos</w:t>
            </w:r>
          </w:p>
        </w:tc>
        <w:tc>
          <w:tcPr>
            <w:tcW w:type="dxa" w:w="216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MCP</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Conta de demonstração</w:t>
            </w:r>
          </w:p>
        </w:tc>
        <w:tc>
          <w:tcPr>
            <w:tcW w:type="dxa" w:w="59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Dados fictícios representativos; acesso revisável e seguro</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QA e Segurança</w:t>
            </w:r>
          </w:p>
        </w:tc>
      </w:tr>
      <w:tr>
        <w:trPr>
          <w:cantSplit/>
        </w:trPr>
        <w:tc>
          <w:tcPr>
            <w:tcW w:type="dxa" w:w="20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Roteiro de avaliação</w:t>
            </w:r>
          </w:p>
        </w:tc>
        <w:tc>
          <w:tcPr>
            <w:tcW w:type="dxa" w:w="59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OpenAI: 5 positivos e 3 negativos, vídeo e release notes. Claude: ao menos 3 casos de uso</w:t>
            </w:r>
          </w:p>
        </w:tc>
        <w:tc>
          <w:tcPr>
            <w:tcW w:type="dxa" w:w="216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QA e Produto</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Materiais de ficha</w:t>
            </w:r>
          </w:p>
        </w:tc>
        <w:tc>
          <w:tcPr>
            <w:tcW w:type="dxa" w:w="59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Nome, descrição, ícone, documentação e contato de suporte</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Produto</w:t>
            </w:r>
          </w:p>
        </w:tc>
      </w:tr>
      <w:tr>
        <w:trPr>
          <w:cantSplit/>
        </w:trPr>
        <w:tc>
          <w:tcPr>
            <w:tcW w:type="dxa" w:w="20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Termos da plataforma</w:t>
            </w:r>
          </w:p>
        </w:tc>
        <w:tc>
          <w:tcPr>
            <w:tcW w:type="dxa" w:w="59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Leitura da versão vigente; aceite por pessoa autorizada</w:t>
            </w:r>
          </w:p>
        </w:tc>
        <w:tc>
          <w:tcPr>
            <w:tcW w:type="dxa" w:w="216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Jurídico e publicador</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Resposta à revisão</w:t>
            </w:r>
          </w:p>
        </w:tc>
        <w:tc>
          <w:tcPr>
            <w:tcW w:type="dxa" w:w="59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Dono, prazo interno, correções e registro de versões submetidas</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Responsável do produto</w:t>
            </w:r>
          </w:p>
        </w:tc>
      </w:tr>
      <w:tr>
        <w:trPr>
          <w:cantSplit/>
        </w:trPr>
        <w:tc>
          <w:tcPr>
            <w:tcW w:type="dxa" w:w="201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Pós publicação</w:t>
            </w:r>
          </w:p>
        </w:tc>
        <w:tc>
          <w:tcPr>
            <w:tcW w:type="dxa" w:w="59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Monitoramento, incidentes, revogação e atualização de políticas</w:t>
            </w:r>
          </w:p>
        </w:tc>
        <w:tc>
          <w:tcPr>
            <w:tcW w:type="dxa" w:w="216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Operação</w:t>
            </w:r>
          </w:p>
        </w:tc>
      </w:tr>
    </w:tbl>
    <w:p>
      <w:r>
        <w:rPr>
          <w:b w:val="0"/>
        </w:rPr>
      </w:r>
    </w:p>
    <w:p>
      <w:pPr>
        <w:pStyle w:val="Heading2"/>
      </w:pPr>
      <w:r>
        <w:t>Texto de escopo para revisão interna</w:t>
      </w:r>
    </w:p>
    <w:p>
      <w:r>
        <w:rPr>
          <w:b w:val="0"/>
        </w:rPr>
        <w:t>“O conector permite ao titular consultar saldo, posições e histórico de ordens da conta Safra que autorizou. Não realiza transferências nem cria, altera ou cancela ordens. As respostas trazem a data de referência e se limitam às permissões concedidas. A conexão pode ser revogada pelo titular.”</w:t>
      </w:r>
    </w:p>
    <w:p>
      <w:r>
        <w:rPr>
          <w:b w:val="0"/>
        </w:rPr>
        <w:t>Não prometer tratamento universal de dados sem treinamento ou retenção zero: o uso depende também dos termos e controles da conta ou workspace do usuário. Confirmar a modalidade antes de fazer declarações de privacidade.</w:t>
      </w:r>
    </w:p>
    <w:p>
      <w:r>
        <w:rPr>
          <w:b w:val="0"/>
        </w:rPr>
        <w:t>Esse texto é uma proposta a ajustar às ferramentas realmente entregues e ao comportamento de revogação comprovado. Evitar afirmar tempo real, precisão contábil, cobertura de todos os produtos ou revogação imediata sem testes.</w:t>
      </w:r>
    </w:p>
    <w:p>
      <w:pPr>
        <w:pStyle w:val="Heading1"/>
      </w:pPr>
      <w:r>
        <w:t>13 Agenda de amanhã custos e decisões</w:t>
      </w:r>
    </w:p>
    <w:p>
      <w:pPr>
        <w:pStyle w:val="Heading2"/>
      </w:pPr>
      <w:r>
        <w:t>Sessão de trabalho proposta</w:t>
      </w:r>
    </w:p>
    <w:tbl>
      <w:tblPr>
        <w:tblW w:type="auto" w:w="0"/>
        <w:jc w:val="center"/>
        <w:tblLayout w:type="fixed"/>
        <w:tblLook w:firstColumn="1" w:firstRow="1" w:lastColumn="0" w:lastRow="0" w:noHBand="0" w:noVBand="1" w:val="04A0"/>
      </w:tblPr>
      <w:tblGrid>
        <w:gridCol w:w="2088"/>
        <w:gridCol w:w="5472"/>
        <w:gridCol w:w="2520"/>
      </w:tblGrid>
      <w:tr>
        <w:trPr>
          <w:cantSplit/>
          <w:tblHeader/>
        </w:trPr>
        <w:tc>
          <w:tcPr>
            <w:tcW w:type="dxa" w:w="2088"/>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Etapa</w:t>
            </w:r>
          </w:p>
        </w:tc>
        <w:tc>
          <w:tcPr>
            <w:tcW w:type="dxa" w:w="5472"/>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Resultado verificável</w:t>
            </w:r>
          </w:p>
        </w:tc>
        <w:tc>
          <w:tcPr>
            <w:tcW w:type="dxa" w:w="2520"/>
            <w:vAlign w:val="center"/>
            <w:shd w:fill="1833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Faixa de tempo indicativa</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Auditoria e baseline</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Mapa dos quatro componentes, testes atuais e causa delimitada do 401</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 h</w:t>
            </w:r>
          </w:p>
        </w:tc>
      </w:tr>
      <w:tr>
        <w:trPr>
          <w:cantSplit/>
        </w:trPr>
        <w:tc>
          <w:tcPr>
            <w:tcW w:type="dxa" w:w="208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Decisões de contrato</w:t>
            </w:r>
          </w:p>
        </w:tc>
        <w:tc>
          <w:tcPr>
            <w:tcW w:type="dxa" w:w="54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Issuer, audiences, sessão, scopes, grants e estratégia A/B/C</w:t>
            </w:r>
          </w:p>
        </w:tc>
        <w:tc>
          <w:tcPr>
            <w:tcW w:type="dxa" w:w="252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45–90 min</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Primeiro corte vertical</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Discovery → login PSC → code/PKCE → token → uma consulta sintética</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 h se dependências prontas</w:t>
            </w:r>
          </w:p>
        </w:tc>
      </w:tr>
      <w:tr>
        <w:trPr>
          <w:cantSplit/>
        </w:trPr>
        <w:tc>
          <w:tcPr>
            <w:tcW w:type="dxa" w:w="208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Teste negativo e integração</w:t>
            </w:r>
          </w:p>
        </w:tc>
        <w:tc>
          <w:tcPr>
            <w:tcW w:type="dxa" w:w="54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Rejeitar token errado, conta de terceiro e revogação; listar lacunas</w:t>
            </w:r>
          </w:p>
        </w:tc>
        <w:tc>
          <w:tcPr>
            <w:tcW w:type="dxa" w:w="252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 h</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Fechamento</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PRs pequenos, evidências, estimativa revista e responsáveis</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30–60 min</w:t>
            </w:r>
          </w:p>
        </w:tc>
      </w:tr>
    </w:tbl>
    <w:p>
      <w:r>
        <w:rPr>
          <w:b w:val="0"/>
        </w:rPr>
      </w:r>
    </w:p>
    <w:p>
      <w:r>
        <w:rPr>
          <w:b w:val="0"/>
        </w:rPr>
        <w:t>Um corte vertical em homologação pode caber em uma sessão se o stack estiver preparado. Implementar segurança, migração, testes nos hosts e governança de produção exige trabalho adicional. Se a auditoria encontrar sessão inacessível ou emissor inadequado, o resultado de amanhã deve ser contrato + provas locais, não um deploy apressado.</w:t>
      </w:r>
    </w:p>
    <w:p>
      <w:pPr>
        <w:pStyle w:val="Heading2"/>
      </w:pPr>
      <w:r>
        <w:t>Esforço e custo</w:t>
      </w:r>
    </w:p>
    <w:p>
      <w:r>
        <w:rPr>
          <w:b w:val="0"/>
        </w:rPr>
        <w:t>Ordem de grandeza de planejamento, sem inspeção de repositório: 5–12 dias de engenharia para piloto endurecido com componentes reaproveitáveis; 2–5 dias adicionais para documentação e preparação de submissão, além de Segurança/Compliance. Débito técnico, ausência de biblioteca OAuth, múltiplas contas ou mudanças de infraestrutura podem ampliar bastante essas faixas. A aprovação externa tem prazo não controlado.</w:t>
      </w:r>
    </w:p>
    <w:p>
      <w:r>
        <w:rPr>
          <w:b w:val="0"/>
        </w:rPr>
        <w:t>Não é necessária licença de SSO enterprise para o protocolo. Ainda há custo de desenvolvimento, revisão, infraestrutura, armazenamento de grants/refresh, observabilidade e suporte. Para baixo volume, reaproveitar serviços existentes pode deixar baixo o custo incremental de hospedagem; nenhum valor monetário foi cotado. Calcular custo com volume previsto × chamadas por consulta × emissão/validação × retenção de logs. O MCP não precisa chamar uma API de LLM para funcionar.</w:t>
      </w:r>
    </w:p>
    <w:p>
      <w:pPr>
        <w:pStyle w:val="Heading2"/>
      </w:pPr>
      <w:r>
        <w:t>Decisões que precisam de dono</w:t>
      </w:r>
    </w:p>
    <w:p>
      <w:pPr>
        <w:pStyle w:val="ListBullet"/>
      </w:pPr>
      <w:r>
        <w:t>Qual é o issuer real e onde vive a sessão PSC? Quem pode aprovar a integração de sessão sem ampliar cookies?</w:t>
      </w:r>
    </w:p>
    <w:p>
      <w:pPr>
        <w:pStyle w:val="ListBullet"/>
      </w:pPr>
      <w:r>
        <w:t>O token atual contém aud? Quem assina, quem valida, quais consumidores legados e quais chaves já existem?</w:t>
      </w:r>
    </w:p>
    <w:p>
      <w:pPr>
        <w:pStyle w:val="ListBullet"/>
      </w:pPr>
      <w:r>
        <w:t>Qual modelo de conta e procuração vale? Qual é o dado mínimo que cada ferramenta precisa enviar ao host de IA?</w:t>
      </w:r>
    </w:p>
    <w:p>
      <w:pPr>
        <w:pStyle w:val="ListBullet"/>
      </w:pPr>
      <w:r>
        <w:t>Qual estratégia de emissão interna A, B ou C tem menos mudança segura? Qual identidade de workload já está disponível?</w:t>
      </w:r>
    </w:p>
    <w:p>
      <w:pPr>
        <w:pStyle w:val="ListBullet"/>
      </w:pPr>
      <w:r>
        <w:t>Qual duração de consentimento, janela de refresh e SLA de revogação são aceitáveis? O que logout global e bloqueio da conta revogam?</w:t>
      </w:r>
    </w:p>
    <w:p>
      <w:pPr>
        <w:pStyle w:val="ListBullet"/>
      </w:pPr>
      <w:r>
        <w:t>Quem autoriza o piloto, a marca, a conta de demonstração, o compartilhamento e o aceite de termos do diretório?</w:t>
      </w:r>
    </w:p>
    <w:p>
      <w:pPr>
        <w:pStyle w:val="Heading1"/>
      </w:pPr>
      <w:r>
        <w:t>Anexo A Pedido pronto para Claude Code</w:t>
      </w:r>
    </w:p>
    <w:p>
      <w:r>
        <w:rPr>
          <w:b w:val="0"/>
        </w:rPr>
        <w:t>Copie o texto abaixo para uma sessão com os repositórios corretos e acesso autorizado. É um pedido de implementação proposto para amanhã; este documento não executa essas ações nem concede novas permissões de infraestrutura.</w:t>
      </w:r>
    </w:p>
    <w:p>
      <w:r>
        <w:rPr>
          <w:b w:val="0"/>
        </w:rPr>
        <w:t>Quero implementar OAuth interoperável para o MCP Safra, hoje em https://api.safra.com.br/mcp. O PSC já autentica por usuário e senha e mantém sessão com vínculo de cliente. Um botão gera JWT, a integração usa /validate e o MCP atualmente repassa esse token. Preserve o login e a experiência PSC; não introduza SSO corporativo obrigatório.</w:t>
      </w:r>
    </w:p>
    <w:p>
      <w:r>
        <w:rPr>
          <w:b w:val="0"/>
        </w:rPr>
        <w:t>Primeiro leia as instruções dos repositórios e inspecione PSC frontend, PSC backend, API de integração e servidor MCP. Não assuma stack, nomes de arquivos ou contratos. Localize a geração de JWT, /validate, autorização das rotas de negócio, gestão de sessão, middleware MCP, proxy e testes. Rode o baseline. Informe o mapa encontrado e registre lacunas antes de modificar.</w:t>
      </w:r>
    </w:p>
    <w:p>
      <w:r>
        <w:rPr>
          <w:b w:val="0"/>
        </w:rPr>
        <w:t>Implemente um piloto somente de consulta: saldo, posições e histórico de ordens. Sem criação/cancelamento de ordens, transferências ou links transacionais. Use dados sintéticos no desenvolvimento. Não publique em catálogo nem faça deploy de produção, aceite termos, crie credenciais persistentes ou altere acesso sem autorização específica.</w:t>
      </w:r>
    </w:p>
    <w:p>
      <w:r>
        <w:rPr>
          <w:b w:val="0"/>
        </w:rPr>
        <w:t>Desenhe Authorization Code com PKCE S256, descoberta de protected resource e authorization server, resource exato /mcp, 401 com WWW-Authenticate e issuer identification. Reutilize sessão PSC validada no backend e consentimento por cliente/conta/scopes. Códigos precisam de hash, validade curta e consumo atômico; ligar code a cliente, redirect, resource e challenge. Use biblioteca mantida e apropriada ao stack.</w:t>
      </w:r>
    </w:p>
    <w:p>
      <w:r>
        <w:rPr>
          <w:b w:val="0"/>
        </w:rPr>
        <w:t>Prefira CIMD com validação de documento, client_id e redirect_uri, proteção SSRF e política explícita para clientes oficiais. Cliente público none usa PKCE e consentimento; não é acesso anônimo. DCR é somente compatibilidade; nunca aceitar qualquer cliente ou callback. Pré-cadastro depende do suporte real dos hosts. Copie callbacks oficiais do gerenciamento e trate loopback nativo apenas na exceção documentada.</w:t>
      </w:r>
    </w:p>
    <w:p>
      <w:r>
        <w:rPr>
          <w:b w:val="0"/>
        </w:rPr>
        <w:t>O token recebido pelo MCP deve ter audience do MCP. Não o encaminhe como bearer da API de integração. Compare e escolha: adaptar emissor atual para dois perfis, mint interno restrito por grant, ou RFC 8693 se já suportado. A integração recebe token separado com sua própria audience, conta, escopo e ator. Nenhum endpoint interno aceita customer_code arbitrário como prova de autoridade.</w:t>
      </w:r>
    </w:p>
    <w:p>
      <w:r>
        <w:rPr>
          <w:b w:val="0"/>
        </w:rPr>
        <w:t>Migre /validate com compatibilidade explícita. Separe perfis de token por rota/consumidor; valide assinatura, issuer, audience, tempo, escopos, grant ativo e ator. Reaplique autorização por usuário/conta/objeto na API. Se usar introspecção, autentique o consumidor e documente contrato. Preserve clientes legados identificados em fluxo isolado e elimine passthrough na nova via pública.</w:t>
      </w:r>
    </w:p>
    <w:p>
      <w:r>
        <w:rPr>
          <w:b w:val="0"/>
        </w:rPr>
        <w:t>Implemente refresh rotativo com detecção de reuso, revogação do grant e cache isolado por usuário/conta/grant/scopes/audience. Defina SLA real de revogação. Logout PSC e revogação OAuth precisam de política explícita. Não guardar tokens em log nem em URLs; nenhuma senha deve chegar ao MCP ou ao cliente de IA.</w:t>
      </w:r>
    </w:p>
    <w:p>
      <w:pPr>
        <w:pStyle w:val="Heading1"/>
      </w:pPr>
      <w:r>
        <w:t>Anexo A Critérios de conclusão para Claude Code</w:t>
      </w:r>
    </w:p>
    <w:p>
      <w:r>
        <w:rPr>
          <w:b w:val="0"/>
        </w:rPr>
        <w:t>Conclua o corte vertical em homologação e entregue PRs pequenos, com documentação e evidências. Se faltar acesso ou decisão, avance no que é independente e liste precisamente o bloqueio. Não contorne restrições de acesso.</w:t>
      </w:r>
    </w:p>
    <w:p>
      <w:pPr>
        <w:pStyle w:val="Heading2"/>
      </w:pPr>
      <w:r>
        <w:t>Testes obrigatórios</w:t>
      </w:r>
    </w:p>
    <w:p>
      <w:pPr>
        <w:pStyle w:val="ListBullet"/>
      </w:pPr>
      <w:r>
        <w:t>Conexão ponta a ponta em ChatGPT e Claude, quando contas/ambientes autorizados estiverem disponíveis; antes disso, MCP Inspector e testes locais não contam como prova de host real.</w:t>
      </w:r>
    </w:p>
    <w:p>
      <w:pPr>
        <w:pStyle w:val="ListBullet"/>
      </w:pPr>
      <w:r>
        <w:t>401/challenge/discovery; PKCE ausente/plain/errado; code expirado ou reusado; duas trocas concorrentes; callback inválido; client_id falso; CIMD malicioso.</w:t>
      </w:r>
    </w:p>
    <w:p>
      <w:pPr>
        <w:pStyle w:val="ListBullet"/>
      </w:pPr>
      <w:r>
        <w:t>JWT com assinatura, issuer, audience ou ambiente incorretos; scope ausente; ID token usado como access token; JWT legado usado no endpoint novo.</w:t>
      </w:r>
    </w:p>
    <w:p>
      <w:pPr>
        <w:pStyle w:val="ListBullet"/>
      </w:pPr>
      <w:r>
        <w:t>Usuário A tentando acessar conta e ordem de B; troca de conta; cache contaminado; sessão MCP reaproveitada com outra identidade.</w:t>
      </w:r>
    </w:p>
    <w:p>
      <w:pPr>
        <w:pStyle w:val="ListBullet"/>
      </w:pPr>
      <w:r>
        <w:t>Refresh válido e reutilizado; concorrência; desconexão; bloqueio de conta; token interno expirado; grant revogado; rotação de chave; falhas de rede.</w:t>
      </w:r>
    </w:p>
    <w:p>
      <w:pPr>
        <w:pStyle w:val="ListBullet"/>
      </w:pPr>
      <w:r>
        <w:t>Ferramentas com schemas e annotations corretos; saída mínima, moeda/data base, paginação; nenhum tool ou URL que efetue transação; nenhuma credencial nos logs.</w:t>
      </w:r>
    </w:p>
    <w:p>
      <w:pPr>
        <w:pStyle w:val="Heading2"/>
      </w:pPr>
      <w:r>
        <w:t>Artefatos de saída</w:t>
      </w:r>
    </w:p>
    <w:p>
      <w:r>
        <w:rPr>
          <w:b w:val="0"/>
        </w:rPr>
        <w:t>1. Mapa dos arquivos, funções e dependências alteradas.</w:t>
        <w:br/>
        <w:t>2. ADR sobre issuer, sessões, audiences, registro de clientes e emissão interna.</w:t>
        <w:br/>
        <w:t>3. Migrações e contratos com exemplos sem segredos.</w:t>
        <w:br/>
        <w:t>4. Suíte de testes, comandos executados e resultados honestos.</w:t>
        <w:br/>
        <w:t>5. Runbook de rollout, rollback, rotação e revogação.</w:t>
        <w:br/>
        <w:t>6. Lista de decisões pendentes e riscos.</w:t>
        <w:br/>
        <w:t>7. Checklist separado para submissão ChatGPT e Claude, sem declarar publicação concluída.</w:t>
      </w:r>
    </w:p>
    <w:p>
      <w:pPr>
        <w:pStyle w:val="Heading2"/>
      </w:pPr>
      <w:r>
        <w:t>Restrições permanentes deste escopo</w:t>
      </w:r>
    </w:p>
    <w:p>
      <w:r>
        <w:rPr>
          <w:b w:val="0"/>
        </w:rPr>
        <w:t>Não reduzir validação de audience para compatibilizar; não aceitar tokens de qualquer emissor; não usar segredo global para acessar conta livre; não inserir senha em configuração; não fazer fallback para modo anônimo; não expor /validate ou mint interno como ferramenta; não criar credenciais reais em fixtures; não substituir testes negativos por uma demonstração feliz.</w:t>
      </w:r>
    </w:p>
    <w:p>
      <w:r>
        <w:rPr>
          <w:b w:val="0"/>
        </w:rPr>
        <w:t>Releia as fontes oficiais de autenticação e catálogo na data de implementação. A documentação consultada em 19/10/2026 já recomenda CIMD, possui particularidades de callback e mantém regras financeiras próprias. Se o SDK instalado não implementar esses detalhes, informe a lacuna e proponha a menor adaptação testável, sem copiar APIs inexistentes.</w:t>
      </w:r>
    </w:p>
    <w:p>
      <w:pPr>
        <w:pStyle w:val="Heading1"/>
        <w:pageBreakBefore/>
      </w:pPr>
      <w:r>
        <w:t>Anexo B Exemplos de contratos editáveis</w:t>
      </w:r>
    </w:p>
    <w:p>
      <w:r>
        <w:rPr>
          <w:b w:val="0"/>
        </w:rPr>
        <w:t>Exemplos de desenho, não arquivos prontos para deploy. O host auth.safra.com.br é apenas ilustrativo e deve ser substituído pelo issuer aprovado. Nunca publicar endpoint ou método no metadata antes de implementá-lo.</w:t>
      </w:r>
    </w:p>
    <w:p>
      <w:pPr>
        <w:pStyle w:val="Heading2"/>
      </w:pPr>
      <w:r>
        <w:t>Protected resource metadata</w:t>
      </w:r>
    </w:p>
    <w:p>
      <w:pPr>
        <w:pStyle w:val="Code"/>
        <w:keepNext/>
      </w:pPr>
      <w:r>
        <w:t>GET https://api.safra.com.br/.well-known/oauth-protected-resource/mcp</w:t>
      </w:r>
    </w:p>
    <w:p>
      <w:pPr>
        <w:pStyle w:val="Code"/>
        <w:keepNext/>
      </w:pPr>
      <w:r>
        <w:t>{</w:t>
      </w:r>
    </w:p>
    <w:p>
      <w:pPr>
        <w:pStyle w:val="Code"/>
        <w:keepNext/>
      </w:pPr>
      <w:r>
        <w:t xml:space="preserve">  "resource": "https://api.safra.com.br/mcp",</w:t>
      </w:r>
    </w:p>
    <w:p>
      <w:pPr>
        <w:pStyle w:val="Code"/>
        <w:keepNext/>
      </w:pPr>
      <w:r>
        <w:t xml:space="preserve">  "authorization_servers": ["https://auth.safra.com.br"],</w:t>
      </w:r>
    </w:p>
    <w:p>
      <w:pPr>
        <w:pStyle w:val="Code"/>
        <w:keepNext/>
      </w:pPr>
      <w:r>
        <w:t xml:space="preserve">  "scopes_supported": [</w:t>
      </w:r>
    </w:p>
    <w:p>
      <w:pPr>
        <w:pStyle w:val="Code"/>
        <w:keepNext/>
      </w:pPr>
      <w:r>
        <w:t xml:space="preserve">    "balances:read", "positions:read", "orders:read"</w:t>
      </w:r>
    </w:p>
    <w:p>
      <w:pPr>
        <w:pStyle w:val="Code"/>
        <w:keepNext/>
      </w:pPr>
      <w:r>
        <w:t xml:space="preserve">  ],</w:t>
      </w:r>
    </w:p>
    <w:p>
      <w:pPr>
        <w:pStyle w:val="Code"/>
        <w:keepNext/>
      </w:pPr>
      <w:r>
        <w:t xml:space="preserve">  "bearer_methods_supported": ["header"]</w:t>
      </w:r>
    </w:p>
    <w:p>
      <w:pPr>
        <w:pStyle w:val="Code"/>
        <w:keepNext w:val="0"/>
      </w:pPr>
      <w:r>
        <w:t>}</w:t>
      </w:r>
    </w:p>
    <w:p>
      <w:pPr>
        <w:pStyle w:val="Heading2"/>
      </w:pPr>
      <w:r>
        <w:t>Authorization server metadata</w:t>
      </w:r>
    </w:p>
    <w:p>
      <w:pPr>
        <w:pStyle w:val="Code"/>
        <w:keepNext/>
      </w:pPr>
      <w:r>
        <w:t>GET https://auth.safra.com.br/.well-known/oauth-authorization-server</w:t>
      </w:r>
    </w:p>
    <w:p>
      <w:pPr>
        <w:pStyle w:val="Code"/>
        <w:keepNext/>
      </w:pPr>
      <w:r>
        <w:t>{</w:t>
      </w:r>
    </w:p>
    <w:p>
      <w:pPr>
        <w:pStyle w:val="Code"/>
        <w:keepNext/>
      </w:pPr>
      <w:r>
        <w:t xml:space="preserve">  "issuer": "https://auth.safra.com.br",</w:t>
      </w:r>
    </w:p>
    <w:p>
      <w:pPr>
        <w:pStyle w:val="Code"/>
        <w:keepNext/>
      </w:pPr>
      <w:r>
        <w:t xml:space="preserve">  "authorization_endpoint": "https://auth.safra.com.br/oauth/authorize",</w:t>
      </w:r>
    </w:p>
    <w:p>
      <w:pPr>
        <w:pStyle w:val="Code"/>
        <w:keepNext/>
      </w:pPr>
      <w:r>
        <w:t xml:space="preserve">  "token_endpoint": "https://auth.safra.com.br/oauth/token",</w:t>
      </w:r>
    </w:p>
    <w:p>
      <w:pPr>
        <w:pStyle w:val="Code"/>
        <w:keepNext/>
      </w:pPr>
      <w:r>
        <w:t xml:space="preserve">  "jwks_uri": "https://auth.safra.com.br/.well-known/jwks.json",</w:t>
      </w:r>
    </w:p>
    <w:p>
      <w:pPr>
        <w:pStyle w:val="Code"/>
        <w:keepNext/>
      </w:pPr>
      <w:r>
        <w:t xml:space="preserve">  "revocation_endpoint": "https://auth.safra.com.br/oauth/revoke",</w:t>
      </w:r>
    </w:p>
    <w:p>
      <w:pPr>
        <w:pStyle w:val="Code"/>
        <w:keepNext/>
      </w:pPr>
      <w:r>
        <w:t xml:space="preserve">  "response_types_supported": ["code"],</w:t>
      </w:r>
    </w:p>
    <w:p>
      <w:pPr>
        <w:pStyle w:val="Code"/>
        <w:keepNext/>
      </w:pPr>
      <w:r>
        <w:t xml:space="preserve">  "grant_types_supported": ["authorization_code", "refresh_token"],</w:t>
      </w:r>
    </w:p>
    <w:p>
      <w:pPr>
        <w:pStyle w:val="Code"/>
        <w:keepNext/>
      </w:pPr>
      <w:r>
        <w:t xml:space="preserve">  "code_challenge_methods_supported": ["S256"],</w:t>
      </w:r>
    </w:p>
    <w:p>
      <w:pPr>
        <w:pStyle w:val="Code"/>
        <w:keepNext/>
      </w:pPr>
      <w:r>
        <w:t xml:space="preserve">  "token_endpoint_auth_methods_supported": ["none"],</w:t>
      </w:r>
    </w:p>
    <w:p>
      <w:pPr>
        <w:pStyle w:val="Code"/>
        <w:keepNext/>
      </w:pPr>
      <w:r>
        <w:t xml:space="preserve">  "client_id_metadata_document_supported": true,</w:t>
      </w:r>
    </w:p>
    <w:p>
      <w:pPr>
        <w:pStyle w:val="Code"/>
        <w:keepNext/>
      </w:pPr>
      <w:r>
        <w:t xml:space="preserve">  "authorization_response_iss_parameter_supported": true,</w:t>
      </w:r>
    </w:p>
    <w:p>
      <w:pPr>
        <w:pStyle w:val="Code"/>
        <w:keepNext/>
      </w:pPr>
      <w:r>
        <w:t xml:space="preserve">  "scopes_supported": [</w:t>
      </w:r>
    </w:p>
    <w:p>
      <w:pPr>
        <w:pStyle w:val="Code"/>
        <w:keepNext/>
      </w:pPr>
      <w:r>
        <w:t xml:space="preserve">    "balances:read", "positions:read", "orders:read", "offline_access"</w:t>
      </w:r>
    </w:p>
    <w:p>
      <w:pPr>
        <w:pStyle w:val="Code"/>
        <w:keepNext/>
      </w:pPr>
      <w:r>
        <w:t xml:space="preserve">  ]</w:t>
      </w:r>
    </w:p>
    <w:p>
      <w:pPr>
        <w:pStyle w:val="Code"/>
        <w:keepNext w:val="0"/>
      </w:pPr>
      <w:r>
        <w:t>}</w:t>
      </w:r>
    </w:p>
    <w:p>
      <w:r>
        <w:rPr>
          <w:b w:val="0"/>
        </w:rPr>
        <w:t>Este perfil usa CIMD público. Acrescentar private_key_jwt, DCR ou métodos de cliente confidencial somente se suportados e testados. offline_access fica no emissor quando oferecido, não no desafio ou metadata do recurso. Não anunciar openid/email/profile se OIDC não for implementado. Retornar iss também nos erros enviados a callbacks válidos.</w:t>
      </w:r>
    </w:p>
    <w:p>
      <w:pPr>
        <w:spacing w:before="40" w:after="120"/>
      </w:pPr>
      <w:r>
        <w:rPr>
          <w:i/>
          <w:sz w:val="18"/>
        </w:rPr>
        <w:t xml:space="preserve">Referências </w:t>
      </w:r>
      <w:hyperlink r:id="rId21">
        <w:r>
          <w:rPr>
            <w:color w:val="234F77"/>
            <w:sz w:val="18"/>
          </w:rPr>
          <w:t>[12] RFC 8414 Authorization Server Metadata</w:t>
        </w:r>
      </w:hyperlink>
      <w:r>
        <w:rPr>
          <w:sz w:val="18"/>
        </w:rPr>
        <w:t xml:space="preserve"> · </w:t>
      </w:r>
      <w:hyperlink r:id="rId22">
        <w:r>
          <w:rPr>
            <w:color w:val="234F77"/>
            <w:sz w:val="18"/>
          </w:rPr>
          <w:t>[13] RFC 9728 Protected Resource Metadata</w:t>
        </w:r>
      </w:hyperlink>
      <w:r>
        <w:rPr>
          <w:sz w:val="18"/>
        </w:rPr>
        <w:t xml:space="preserve"> · </w:t>
      </w:r>
      <w:hyperlink r:id="rId29">
        <w:r>
          <w:rPr>
            <w:color w:val="234F77"/>
            <w:sz w:val="18"/>
          </w:rPr>
          <w:t>[21] RFC 9207 Issuer Identification</w:t>
        </w:r>
      </w:hyperlink>
    </w:p>
    <w:p>
      <w:pPr>
        <w:pStyle w:val="Heading1"/>
        <w:pageBreakBefore/>
      </w:pPr>
      <w:r>
        <w:t>Anexo B Validação e autorização em pseudocódigo</w:t>
      </w:r>
    </w:p>
    <w:p>
      <w:pPr>
        <w:pStyle w:val="Heading2"/>
      </w:pPr>
      <w:r>
        <w:t>Fronteira MCP</w:t>
      </w:r>
    </w:p>
    <w:p>
      <w:pPr>
        <w:pStyle w:val="Code"/>
        <w:keepNext/>
      </w:pPr>
      <w:r>
        <w:t>handle_mcp(request):</w:t>
      </w:r>
    </w:p>
    <w:p>
      <w:pPr>
        <w:pStyle w:val="Code"/>
        <w:keepNext/>
      </w:pPr>
      <w:r>
        <w:t xml:space="preserve">  credential = read_bearer_header(request)</w:t>
      </w:r>
    </w:p>
    <w:p>
      <w:pPr>
        <w:pStyle w:val="Code"/>
        <w:keepNext/>
      </w:pPr>
      <w:r>
        <w:t xml:space="preserve">  identity = verify_mcp_token(credential,</w:t>
      </w:r>
    </w:p>
    <w:p>
      <w:pPr>
        <w:pStyle w:val="Code"/>
        <w:keepNext/>
      </w:pPr>
      <w:r>
        <w:t xml:space="preserve">      trusted_issuer=MCP_ISSUER, expected_audience=MCP_RESOURCE)</w:t>
      </w:r>
    </w:p>
    <w:p>
      <w:pPr>
        <w:pStyle w:val="Code"/>
        <w:keepNext/>
      </w:pPr>
      <w:r>
        <w:t xml:space="preserve">  grant = require_active_grant(identity.grant_id)</w:t>
      </w:r>
    </w:p>
    <w:p>
      <w:pPr>
        <w:pStyle w:val="Code"/>
        <w:keepNext/>
      </w:pPr>
      <w:r>
        <w:t xml:space="preserve">  assert grant.subject == identity.subject</w:t>
      </w:r>
    </w:p>
    <w:p>
      <w:pPr>
        <w:pStyle w:val="Code"/>
        <w:keepNext/>
      </w:pPr>
      <w:r>
        <w:t xml:space="preserve">  assert grant.client_id == identity.client_id</w:t>
      </w:r>
    </w:p>
    <w:p>
      <w:pPr>
        <w:pStyle w:val="Code"/>
        <w:keepNext/>
      </w:pPr>
      <w:r>
        <w:t xml:space="preserve">  operation = parse_allowlisted_tool(request)</w:t>
      </w:r>
    </w:p>
    <w:p>
      <w:pPr>
        <w:pStyle w:val="Code"/>
        <w:keepNext/>
      </w:pPr>
      <w:r>
        <w:t xml:space="preserve">  require_scope(identity, grant, operation.required_scope)</w:t>
      </w:r>
    </w:p>
    <w:p>
      <w:pPr>
        <w:pStyle w:val="Code"/>
        <w:keepNext/>
      </w:pPr>
      <w:r>
        <w:t xml:space="preserve">  account = resolve_authorized_account(grant, operation.account_selector)</w:t>
      </w:r>
    </w:p>
    <w:p>
      <w:pPr>
        <w:pStyle w:val="Code"/>
        <w:keepNext/>
      </w:pPr>
      <w:r>
        <w:t xml:space="preserve">  delegated = mint_for_integration(</w:t>
      </w:r>
    </w:p>
    <w:p>
      <w:pPr>
        <w:pStyle w:val="Code"/>
        <w:keepNext/>
      </w:pPr>
      <w:r>
        <w:t xml:space="preserve">      authenticated_mcp_workload, grant.ref, operation.required_scope)</w:t>
      </w:r>
    </w:p>
    <w:p>
      <w:pPr>
        <w:pStyle w:val="Code"/>
        <w:keepNext/>
      </w:pPr>
      <w:r>
        <w:t xml:space="preserve">  result = integration.call(</w:t>
      </w:r>
    </w:p>
    <w:p>
      <w:pPr>
        <w:pStyle w:val="Code"/>
        <w:keepNext/>
      </w:pPr>
      <w:r>
        <w:t xml:space="preserve">      operation.allowlisted_route, delegated.token, account, safe_arguments)</w:t>
      </w:r>
    </w:p>
    <w:p>
      <w:pPr>
        <w:pStyle w:val="Code"/>
        <w:keepNext w:val="0"/>
      </w:pPr>
      <w:r>
        <w:t xml:space="preserve">  return minimize_and_validate_output(result)</w:t>
      </w:r>
    </w:p>
    <w:p>
      <w:pPr>
        <w:pStyle w:val="Heading2"/>
      </w:pPr>
      <w:r>
        <w:t>Fronteira da integração</w:t>
      </w:r>
    </w:p>
    <w:p>
      <w:pPr>
        <w:pStyle w:val="Code"/>
        <w:keepNext/>
      </w:pPr>
      <w:r>
        <w:t>handle_business_read(request):</w:t>
      </w:r>
    </w:p>
    <w:p>
      <w:pPr>
        <w:pStyle w:val="Code"/>
        <w:keepNext/>
      </w:pPr>
      <w:r>
        <w:t xml:space="preserve">  delegated = verify_integration_token(request.bearer,</w:t>
      </w:r>
    </w:p>
    <w:p>
      <w:pPr>
        <w:pStyle w:val="Code"/>
        <w:keepNext/>
      </w:pPr>
      <w:r>
        <w:t xml:space="preserve">      trusted_issuer=INTERNAL_ISSUER, expected_audience=INTEGRATION_RESOURCE)</w:t>
      </w:r>
    </w:p>
    <w:p>
      <w:pPr>
        <w:pStyle w:val="Code"/>
        <w:keepNext/>
      </w:pPr>
      <w:r>
        <w:t xml:space="preserve">  require_allowed_actor(delegated.actor, "mcp-safra")</w:t>
      </w:r>
    </w:p>
    <w:p>
      <w:pPr>
        <w:pStyle w:val="Code"/>
        <w:keepNext/>
      </w:pPr>
      <w:r>
        <w:t xml:space="preserve">  require_active_grant(delegated.grant_ref)</w:t>
      </w:r>
    </w:p>
    <w:p>
      <w:pPr>
        <w:pStyle w:val="Code"/>
        <w:keepNext/>
      </w:pPr>
      <w:r>
        <w:t xml:space="preserve">  require_current_account_entitlement(delegated.subject, delegated.account)</w:t>
      </w:r>
    </w:p>
    <w:p>
      <w:pPr>
        <w:pStyle w:val="Code"/>
        <w:keepNext/>
      </w:pPr>
      <w:r>
        <w:t xml:space="preserve">  require_scope_for_route(delegated.scope, request.route)</w:t>
      </w:r>
    </w:p>
    <w:p>
      <w:pPr>
        <w:pStyle w:val="Code"/>
        <w:keepNext/>
      </w:pPr>
      <w:r>
        <w:t xml:space="preserve">  object = load_only_within_account(request.object_id, delegated.account)</w:t>
      </w:r>
    </w:p>
    <w:p>
      <w:pPr>
        <w:pStyle w:val="Code"/>
        <w:keepNext w:val="0"/>
      </w:pPr>
      <w:r>
        <w:t xml:space="preserve">  return permitted_fields(object)</w:t>
      </w:r>
    </w:p>
    <w:p>
      <w:pPr>
        <w:pStyle w:val="Heading2"/>
      </w:pPr>
      <w:r>
        <w:t>Invariantes que os testes precisam provar</w:t>
      </w:r>
    </w:p>
    <w:p>
      <w:r>
        <w:rPr>
          <w:b w:val="0"/>
        </w:rPr>
        <w:t>A API não confia na conta recebida como argumento se ela divergir da credencial e do grant. Nenhuma camada permite que um token da integração autentique o MCP. A emissão interna não amplia permissões. Um código consumido não pode ser usado novamente. O status do grant vale nas duas fronteiras. Se o usuário selecionar outra conta, a permissão deve existir no grant ou ser objeto de nova autorização.</w:t>
      </w:r>
    </w:p>
    <w:p>
      <w:r>
        <w:rPr>
          <w:b w:val="0"/>
        </w:rPr>
        <w:t>O pseudocódigo não define APIs de SDK nem uma linguagem obrigatória. Tratamento HTTP, erros MCP, formato de token e semântica de transporte devem seguir as bibliotecas reais. Não transformar o bloco diretamente em código de produção sem a auditoria da seção 1.</w:t>
      </w:r>
    </w:p>
    <w:p>
      <w:pPr>
        <w:pStyle w:val="Heading1"/>
        <w:pageBreakBefore/>
      </w:pPr>
      <w:r>
        <w:t>Anexo C Fontes editáveis dos diagramas</w:t>
      </w:r>
    </w:p>
    <w:p>
      <w:r>
        <w:rPr>
          <w:b w:val="0"/>
        </w:rPr>
        <w:t>Os diagramas foram renderizados como figuras para preservar a leitura no Word. As fontes Mermaid abaixo são texto editável; permitem regenerar as figuras se a arquitetura mudar. Todo o texto, tabelas e contratos do documento são editáveis.</w:t>
      </w:r>
    </w:p>
    <w:p>
      <w:pPr>
        <w:pStyle w:val="Heading2"/>
      </w:pPr>
      <w:r>
        <w:t>Arquitetura</w:t>
      </w:r>
    </w:p>
    <w:p>
      <w:pPr>
        <w:pStyle w:val="Code"/>
        <w:keepNext/>
      </w:pPr>
      <w:r>
        <w:t>flowchart LR</w:t>
      </w:r>
    </w:p>
    <w:p>
      <w:pPr>
        <w:pStyle w:val="Code"/>
        <w:keepNext/>
      </w:pPr>
      <w:r>
        <w:t xml:space="preserve">  C[ChatGPT ou Claude] --&gt;|code e PKCE| A[OAuth Safra]</w:t>
      </w:r>
    </w:p>
    <w:p>
      <w:pPr>
        <w:pStyle w:val="Code"/>
        <w:keepNext/>
      </w:pPr>
      <w:r>
        <w:t xml:space="preserve">  A --&gt;|login e sessao| P[PSC]</w:t>
      </w:r>
    </w:p>
    <w:p>
      <w:pPr>
        <w:pStyle w:val="Code"/>
        <w:keepNext/>
      </w:pPr>
      <w:r>
        <w:t xml:space="preserve">  C --&gt;|token audience MCP| M[MCP Safra]</w:t>
      </w:r>
    </w:p>
    <w:p>
      <w:pPr>
        <w:pStyle w:val="Code"/>
        <w:keepNext/>
      </w:pPr>
      <w:r>
        <w:t xml:space="preserve">  M --&gt;|grant validado e identidade de servico| I[Emissor interno]</w:t>
      </w:r>
    </w:p>
    <w:p>
      <w:pPr>
        <w:pStyle w:val="Code"/>
        <w:keepNext/>
      </w:pPr>
      <w:r>
        <w:t xml:space="preserve">  A --&gt;|grant e revogacao| I</w:t>
      </w:r>
    </w:p>
    <w:p>
      <w:pPr>
        <w:pStyle w:val="Code"/>
        <w:keepNext/>
      </w:pPr>
      <w:r>
        <w:t xml:space="preserve">  I --&gt;|token audience integracao| M</w:t>
      </w:r>
    </w:p>
    <w:p>
      <w:pPr>
        <w:pStyle w:val="Code"/>
        <w:keepNext/>
      </w:pPr>
      <w:r>
        <w:t xml:space="preserve">  M --&gt;|token interno e consulta| B[API de integracao]</w:t>
      </w:r>
    </w:p>
    <w:p>
      <w:pPr>
        <w:pStyle w:val="Code"/>
        <w:keepNext/>
      </w:pPr>
      <w:r>
        <w:t xml:space="preserve">  B --&gt;|dados autorizados| M</w:t>
      </w:r>
    </w:p>
    <w:p>
      <w:pPr>
        <w:pStyle w:val="Code"/>
        <w:keepNext w:val="0"/>
      </w:pPr>
      <w:r>
        <w:t xml:space="preserve">  M --&gt;|resposta minima| C</w:t>
      </w:r>
    </w:p>
    <w:p>
      <w:pPr>
        <w:pStyle w:val="Heading2"/>
      </w:pPr>
      <w:r>
        <w:t>Sequência</w:t>
      </w:r>
    </w:p>
    <w:p>
      <w:pPr>
        <w:pStyle w:val="Code"/>
        <w:keepNext/>
      </w:pPr>
      <w:r>
        <w:t>sequenceDiagram</w:t>
      </w:r>
    </w:p>
    <w:p>
      <w:pPr>
        <w:pStyle w:val="Code"/>
        <w:keepNext/>
      </w:pPr>
      <w:r>
        <w:t xml:space="preserve">  participant C as Cliente de IA</w:t>
      </w:r>
    </w:p>
    <w:p>
      <w:pPr>
        <w:pStyle w:val="Code"/>
        <w:keepNext/>
      </w:pPr>
      <w:r>
        <w:t xml:space="preserve">  participant A as OAuth Safra</w:t>
      </w:r>
    </w:p>
    <w:p>
      <w:pPr>
        <w:pStyle w:val="Code"/>
        <w:keepNext/>
      </w:pPr>
      <w:r>
        <w:t xml:space="preserve">  participant P as PSC</w:t>
      </w:r>
    </w:p>
    <w:p>
      <w:pPr>
        <w:pStyle w:val="Code"/>
        <w:keepNext/>
      </w:pPr>
      <w:r>
        <w:t xml:space="preserve">  participant M as MCP</w:t>
      </w:r>
    </w:p>
    <w:p>
      <w:pPr>
        <w:pStyle w:val="Code"/>
        <w:keepNext/>
      </w:pPr>
      <w:r>
        <w:t xml:space="preserve">  participant I as Integracao</w:t>
      </w:r>
    </w:p>
    <w:p>
      <w:pPr>
        <w:pStyle w:val="Code"/>
        <w:keepNext/>
      </w:pPr>
      <w:r>
        <w:t xml:space="preserve">  C-&gt;&gt;M: Chamada sem credencial</w:t>
      </w:r>
    </w:p>
    <w:p>
      <w:pPr>
        <w:pStyle w:val="Code"/>
        <w:keepNext/>
      </w:pPr>
      <w:r>
        <w:t xml:space="preserve">  M--&gt;&gt;C: 401 e descoberta OAuth</w:t>
      </w:r>
    </w:p>
    <w:p>
      <w:pPr>
        <w:pStyle w:val="Code"/>
        <w:keepNext/>
      </w:pPr>
      <w:r>
        <w:t xml:space="preserve">  C-&gt;&gt;A: authorize com PKCE S256</w:t>
      </w:r>
    </w:p>
    <w:p>
      <w:pPr>
        <w:pStyle w:val="Code"/>
        <w:keepNext/>
      </w:pPr>
      <w:r>
        <w:t xml:space="preserve">  A-&gt;&gt;P: Validar login ou sessao</w:t>
      </w:r>
    </w:p>
    <w:p>
      <w:pPr>
        <w:pStyle w:val="Code"/>
        <w:keepNext/>
      </w:pPr>
      <w:r>
        <w:t xml:space="preserve">  P--&gt;&gt;A: Identidade e consentimento</w:t>
      </w:r>
    </w:p>
    <w:p>
      <w:pPr>
        <w:pStyle w:val="Code"/>
        <w:keepNext/>
      </w:pPr>
      <w:r>
        <w:t xml:space="preserve">  A--&gt;&gt;C: code e state e iss</w:t>
      </w:r>
    </w:p>
    <w:p>
      <w:pPr>
        <w:pStyle w:val="Code"/>
        <w:keepNext/>
      </w:pPr>
      <w:r>
        <w:t xml:space="preserve">  C-&gt;&gt;A: Trocar code com verifier</w:t>
      </w:r>
    </w:p>
    <w:p>
      <w:pPr>
        <w:pStyle w:val="Code"/>
        <w:keepNext/>
      </w:pPr>
      <w:r>
        <w:t xml:space="preserve">  A--&gt;&gt;C: access token MCP e refresh</w:t>
      </w:r>
    </w:p>
    <w:p>
      <w:pPr>
        <w:pStyle w:val="Code"/>
        <w:keepNext/>
      </w:pPr>
      <w:r>
        <w:t xml:space="preserve">  C-&gt;&gt;M: Chamada com token MCP</w:t>
      </w:r>
    </w:p>
    <w:p>
      <w:pPr>
        <w:pStyle w:val="Code"/>
        <w:keepNext/>
      </w:pPr>
      <w:r>
        <w:t xml:space="preserve">  M-&gt;&gt;A: Emissao interna por grant ativo</w:t>
      </w:r>
    </w:p>
    <w:p>
      <w:pPr>
        <w:pStyle w:val="Code"/>
        <w:keepNext/>
      </w:pPr>
      <w:r>
        <w:t xml:space="preserve">  A--&gt;&gt;M: Token audience integracao</w:t>
      </w:r>
    </w:p>
    <w:p>
      <w:pPr>
        <w:pStyle w:val="Code"/>
        <w:keepNext/>
      </w:pPr>
      <w:r>
        <w:t xml:space="preserve">  M-&gt;&gt;I: Consulta com token interno</w:t>
      </w:r>
    </w:p>
    <w:p>
      <w:pPr>
        <w:pStyle w:val="Code"/>
        <w:keepNext/>
      </w:pPr>
      <w:r>
        <w:t xml:space="preserve">  I--&gt;&gt;M: Dados autorizados</w:t>
      </w:r>
    </w:p>
    <w:p>
      <w:pPr>
        <w:pStyle w:val="Code"/>
        <w:keepNext w:val="0"/>
      </w:pPr>
      <w:r>
        <w:t xml:space="preserve">  M--&gt;&gt;C: Resposta minima</w:t>
      </w:r>
    </w:p>
    <w:p>
      <w:pPr>
        <w:pStyle w:val="Heading1"/>
        <w:pageBreakBefore/>
      </w:pPr>
      <w:r>
        <w:t>Referências oficiais</w:t>
      </w:r>
    </w:p>
    <w:p>
      <w:r>
        <w:rPr>
          <w:b w:val="0"/>
        </w:rPr>
        <w:t>Consultadas em 19 de outubro de 2026. Os links são fontes normativas ou documentação oficial. As escolhas de arquitetura, TTL, backlog, testes e estimativas deste plano são propostas de engenharia aplicadas ao caso Safra; não são requisitos textuais impostos por um único fornecedor. Verificar novamente políticas e telas antes de submeter.</w:t>
      </w:r>
    </w:p>
    <w:p>
      <w:r>
        <w:rPr>
          <w:b/>
        </w:rPr>
        <w:t>[1] MCP Authorization 2026 07 28</w:t>
      </w:r>
    </w:p>
    <w:p>
      <w:pPr>
        <w:spacing w:after="160"/>
      </w:pPr>
      <w:r>
        <w:rPr>
          <w:b w:val="0"/>
        </w:rPr>
        <w:t>https://modelcontextprotocol.io/specification/2026-07-28/basic/authorization</w:t>
      </w:r>
    </w:p>
    <w:p>
      <w:r>
        <w:rPr>
          <w:b/>
        </w:rPr>
        <w:t>[2] MCP Client Registration</w:t>
      </w:r>
    </w:p>
    <w:p>
      <w:pPr>
        <w:spacing w:after="160"/>
      </w:pPr>
      <w:r>
        <w:rPr>
          <w:b w:val="0"/>
        </w:rPr>
        <w:t>https://modelcontextprotocol.io/specification/2026-07-28/basic/authorization/client-registration</w:t>
      </w:r>
    </w:p>
    <w:p>
      <w:r>
        <w:rPr>
          <w:b/>
        </w:rPr>
        <w:t>[3] MCP Security Best Practices</w:t>
      </w:r>
    </w:p>
    <w:p>
      <w:pPr>
        <w:spacing w:after="160"/>
      </w:pPr>
      <w:r>
        <w:rPr>
          <w:b w:val="0"/>
        </w:rPr>
        <w:t>https://modelcontextprotocol.io/docs/2026-07-28/tutorials/security/security_best_practices</w:t>
      </w:r>
    </w:p>
    <w:p>
      <w:r>
        <w:rPr>
          <w:b/>
        </w:rPr>
        <w:t>[4] OpenAI Authentication</w:t>
      </w:r>
    </w:p>
    <w:p>
      <w:pPr>
        <w:spacing w:after="160"/>
      </w:pPr>
      <w:r>
        <w:rPr>
          <w:b w:val="0"/>
        </w:rPr>
        <w:t>https://developers.openai.com/plugins/build/auth</w:t>
      </w:r>
    </w:p>
    <w:p>
      <w:r>
        <w:rPr>
          <w:b/>
        </w:rPr>
        <w:t>[5] OpenAI Submit and publish</w:t>
      </w:r>
    </w:p>
    <w:p>
      <w:pPr>
        <w:spacing w:after="160"/>
      </w:pPr>
      <w:r>
        <w:rPr>
          <w:b w:val="0"/>
        </w:rPr>
        <w:t>https://developers.openai.com/plugins/deploy/submission</w:t>
      </w:r>
    </w:p>
    <w:p>
      <w:r>
        <w:rPr>
          <w:b/>
        </w:rPr>
        <w:t>[6] OpenAI Plugin Guidelines</w:t>
      </w:r>
    </w:p>
    <w:p>
      <w:pPr>
        <w:spacing w:after="160"/>
      </w:pPr>
      <w:r>
        <w:rPr>
          <w:b w:val="0"/>
        </w:rPr>
        <w:t>https://developers.openai.com/plugins/plugin-guidelines</w:t>
      </w:r>
    </w:p>
    <w:p>
      <w:r>
        <w:rPr>
          <w:b/>
        </w:rPr>
        <w:t>[7] OpenAI App Developer Terms</w:t>
      </w:r>
    </w:p>
    <w:p>
      <w:pPr>
        <w:spacing w:after="160"/>
      </w:pPr>
      <w:r>
        <w:rPr>
          <w:b w:val="0"/>
        </w:rPr>
        <w:t>https://openai.com/policies/developer-apps-terms/</w:t>
      </w:r>
    </w:p>
    <w:p>
      <w:r>
        <w:rPr>
          <w:b/>
        </w:rPr>
        <w:t>[8] Claude Authentication for connectors</w:t>
      </w:r>
    </w:p>
    <w:p>
      <w:pPr>
        <w:spacing w:after="160"/>
      </w:pPr>
      <w:r>
        <w:rPr>
          <w:b w:val="0"/>
        </w:rPr>
        <w:t>https://claude.com/docs/connectors/building/authentication</w:t>
      </w:r>
    </w:p>
    <w:p>
      <w:r>
        <w:rPr>
          <w:b/>
        </w:rPr>
        <w:t>[9] Claude Submit a connector</w:t>
      </w:r>
    </w:p>
    <w:p>
      <w:pPr>
        <w:spacing w:after="160"/>
      </w:pPr>
      <w:r>
        <w:rPr>
          <w:b w:val="0"/>
        </w:rPr>
        <w:t>https://claude.com/docs/connectors/building/submission</w:t>
      </w:r>
    </w:p>
    <w:p>
      <w:r>
        <w:rPr>
          <w:b/>
        </w:rPr>
        <w:t>[10] Anthropic Software Directory Policy</w:t>
      </w:r>
    </w:p>
    <w:p>
      <w:pPr>
        <w:spacing w:after="160"/>
      </w:pPr>
      <w:r>
        <w:rPr>
          <w:b w:val="0"/>
        </w:rPr>
        <w:t>https://support.claude.com/en/articles/13145358-anthropic-software-directory-policy</w:t>
      </w:r>
    </w:p>
    <w:p>
      <w:r>
        <w:rPr>
          <w:b/>
        </w:rPr>
        <w:t>[11] RFC 7636 PKCE</w:t>
      </w:r>
    </w:p>
    <w:p>
      <w:pPr>
        <w:spacing w:after="160"/>
      </w:pPr>
      <w:r>
        <w:rPr>
          <w:b w:val="0"/>
        </w:rPr>
        <w:t>https://www.rfc-editor.org/rfc/rfc7636.html</w:t>
      </w:r>
    </w:p>
    <w:p>
      <w:pPr>
        <w:pStyle w:val="Heading1"/>
        <w:pageBreakBefore/>
      </w:pPr>
      <w:r>
        <w:t>Referências de protocolo</w:t>
      </w:r>
    </w:p>
    <w:p>
      <w:r>
        <w:rPr>
          <w:b/>
        </w:rPr>
        <w:t>[12] RFC 8414 Authorization Server Metadata</w:t>
      </w:r>
    </w:p>
    <w:p>
      <w:pPr>
        <w:spacing w:after="160"/>
      </w:pPr>
      <w:r>
        <w:rPr>
          <w:b w:val="0"/>
        </w:rPr>
        <w:t>https://www.rfc-editor.org/rfc/rfc8414.html</w:t>
      </w:r>
    </w:p>
    <w:p>
      <w:r>
        <w:rPr>
          <w:b/>
        </w:rPr>
        <w:t>[13] RFC 9728 Protected Resource Metadata</w:t>
      </w:r>
    </w:p>
    <w:p>
      <w:pPr>
        <w:spacing w:after="160"/>
      </w:pPr>
      <w:r>
        <w:rPr>
          <w:b w:val="0"/>
        </w:rPr>
        <w:t>https://www.rfc-editor.org/rfc/rfc9728.html</w:t>
      </w:r>
    </w:p>
    <w:p>
      <w:r>
        <w:rPr>
          <w:b/>
        </w:rPr>
        <w:t>[14] RFC 8707 Resource Indicators</w:t>
      </w:r>
    </w:p>
    <w:p>
      <w:pPr>
        <w:spacing w:after="160"/>
      </w:pPr>
      <w:r>
        <w:rPr>
          <w:b w:val="0"/>
        </w:rPr>
        <w:t>https://www.rfc-editor.org/rfc/rfc8707.html</w:t>
      </w:r>
    </w:p>
    <w:p>
      <w:r>
        <w:rPr>
          <w:b/>
        </w:rPr>
        <w:t>[15] RFC 9068 JWT Access Tokens</w:t>
      </w:r>
    </w:p>
    <w:p>
      <w:pPr>
        <w:spacing w:after="160"/>
      </w:pPr>
      <w:r>
        <w:rPr>
          <w:b w:val="0"/>
        </w:rPr>
        <w:t>https://www.rfc-editor.org/rfc/rfc9068.html</w:t>
      </w:r>
    </w:p>
    <w:p>
      <w:r>
        <w:rPr>
          <w:b/>
        </w:rPr>
        <w:t>[16] RFC 7662 Token Introspection</w:t>
      </w:r>
    </w:p>
    <w:p>
      <w:pPr>
        <w:spacing w:after="160"/>
      </w:pPr>
      <w:r>
        <w:rPr>
          <w:b w:val="0"/>
        </w:rPr>
        <w:t>https://www.rfc-editor.org/rfc/rfc7662.html</w:t>
      </w:r>
    </w:p>
    <w:p>
      <w:r>
        <w:rPr>
          <w:b/>
        </w:rPr>
        <w:t>[17] RFC 7009 Token Revocation</w:t>
      </w:r>
    </w:p>
    <w:p>
      <w:pPr>
        <w:spacing w:after="160"/>
      </w:pPr>
      <w:r>
        <w:rPr>
          <w:b w:val="0"/>
        </w:rPr>
        <w:t>https://www.rfc-editor.org/rfc/rfc7009.html</w:t>
      </w:r>
    </w:p>
    <w:p>
      <w:r>
        <w:rPr>
          <w:b/>
        </w:rPr>
        <w:t>[18] RFC 8693 Token Exchange</w:t>
      </w:r>
    </w:p>
    <w:p>
      <w:pPr>
        <w:spacing w:after="160"/>
      </w:pPr>
      <w:r>
        <w:rPr>
          <w:b w:val="0"/>
        </w:rPr>
        <w:t>https://www.rfc-editor.org/rfc/rfc8693.html</w:t>
      </w:r>
    </w:p>
    <w:p>
      <w:r>
        <w:rPr>
          <w:b/>
        </w:rPr>
        <w:t>[19] RFC 9700 OAuth Security Best Current Practice</w:t>
      </w:r>
    </w:p>
    <w:p>
      <w:pPr>
        <w:spacing w:after="160"/>
      </w:pPr>
      <w:r>
        <w:rPr>
          <w:b w:val="0"/>
        </w:rPr>
        <w:t>https://www.rfc-editor.org/rfc/rfc9700.html</w:t>
      </w:r>
    </w:p>
    <w:p>
      <w:r>
        <w:rPr>
          <w:b/>
        </w:rPr>
        <w:t>[20] RFC 7591 Dynamic Client Registration</w:t>
      </w:r>
    </w:p>
    <w:p>
      <w:pPr>
        <w:spacing w:after="160"/>
      </w:pPr>
      <w:r>
        <w:rPr>
          <w:b w:val="0"/>
        </w:rPr>
        <w:t>https://www.rfc-editor.org/rfc/rfc7591.html</w:t>
      </w:r>
    </w:p>
    <w:p>
      <w:r>
        <w:rPr>
          <w:b/>
        </w:rPr>
        <w:t>[21] RFC 9207 Issuer Identification</w:t>
      </w:r>
    </w:p>
    <w:p>
      <w:pPr>
        <w:spacing w:after="160"/>
      </w:pPr>
      <w:r>
        <w:rPr>
          <w:b w:val="0"/>
        </w:rPr>
        <w:t>https://www.rfc-editor.org/rfc/rfc9207.html</w:t>
      </w:r>
    </w:p>
    <w:p>
      <w:r>
        <w:rPr>
          <w:b/>
        </w:rPr>
        <w:t>[22] RFC 8252 OAuth for Native Apps</w:t>
      </w:r>
    </w:p>
    <w:p>
      <w:pPr>
        <w:spacing w:after="160"/>
      </w:pPr>
      <w:r>
        <w:rPr>
          <w:b w:val="0"/>
        </w:rPr>
        <w:t>https://www.rfc-editor.org/rfc/rfc8252.html</w:t>
      </w:r>
    </w:p>
    <w:p>
      <w:r>
        <w:rPr>
          <w:b/>
        </w:rPr>
        <w:t>[23] RFC 6750 Bearer Token Usage</w:t>
      </w:r>
    </w:p>
    <w:p>
      <w:pPr>
        <w:spacing w:after="160"/>
      </w:pPr>
      <w:r>
        <w:rPr>
          <w:b w:val="0"/>
        </w:rPr>
        <w:t>https://www.rfc-editor.org/rfc/rfc6750.html</w:t>
      </w:r>
    </w:p>
    <w:p>
      <w:pPr>
        <w:pStyle w:val="Heading1"/>
      </w:pPr>
      <w:r>
        <w:t>Referências adicionais de publicação</w:t>
      </w:r>
    </w:p>
    <w:p>
      <w:r>
        <w:rPr>
          <w:b/>
        </w:rPr>
        <w:t>[24] OpenAI MCP review requirements</w:t>
      </w:r>
    </w:p>
    <w:p>
      <w:r>
        <w:rPr>
          <w:b w:val="0"/>
        </w:rPr>
        <w:t>https://developers.openai.com/plugins/deploy/app-review</w:t>
      </w:r>
    </w:p>
    <w:p>
      <w:r>
        <w:rPr>
          <w:b/>
        </w:rPr>
        <w:t>[25] Claude Connector review criteria</w:t>
      </w:r>
    </w:p>
    <w:p>
      <w:r>
        <w:rPr>
          <w:b w:val="0"/>
        </w:rPr>
        <w:t>https://claude.com/docs/connectors/building/review-criteria</w:t>
      </w:r>
    </w:p>
    <w:p>
      <w:r>
        <w:rPr>
          <w:b/>
        </w:rPr>
        <w:t>[26] Claude Directory versus custom connectors</w:t>
      </w:r>
    </w:p>
    <w:p>
      <w:r>
        <w:rPr>
          <w:b w:val="0"/>
        </w:rPr>
        <w:t>https://claude.com/docs/connectors/building/directory-vs-custom</w:t>
      </w:r>
    </w:p>
    <w:p>
      <w:r>
        <w:rPr>
          <w:b/>
        </w:rPr>
        <w:t>[27] Anthropic Software Directory Terms</w:t>
      </w:r>
    </w:p>
    <w:p>
      <w:r>
        <w:rPr>
          <w:b w:val="0"/>
        </w:rPr>
        <w:t>https://support.claude.com/en/articles/13145338-anthropic-software-directory-terms</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19 outubro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7"/>
      </w:rPr>
      <w:t>SAFRA  |  MCP OAuth e publicação  |  Plano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ind w:lef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plugins/build/auth" TargetMode="External"/><Relationship Id="rId12" Type="http://schemas.openxmlformats.org/officeDocument/2006/relationships/hyperlink" Target="https://developers.openai.com/plugins/plugin-guidelines" TargetMode="External"/><Relationship Id="rId13" Type="http://schemas.openxmlformats.org/officeDocument/2006/relationships/hyperlink" Target="https://openai.com/policies/developer-apps-terms/" TargetMode="External"/><Relationship Id="rId14" Type="http://schemas.openxmlformats.org/officeDocument/2006/relationships/hyperlink" Target="https://claude.com/docs/connectors/building/authentication" TargetMode="External"/><Relationship Id="rId15" Type="http://schemas.openxmlformats.org/officeDocument/2006/relationships/hyperlink" Target="https://support.claude.com/en/articles/13145358-anthropic-software-directory-policy" TargetMode="External"/><Relationship Id="rId16" Type="http://schemas.openxmlformats.org/officeDocument/2006/relationships/image" Target="media/image1.png"/><Relationship Id="rId17" Type="http://schemas.openxmlformats.org/officeDocument/2006/relationships/hyperlink" Target="https://modelcontextprotocol.io/specification/2026-07-28/basic/authorization" TargetMode="External"/><Relationship Id="rId18" Type="http://schemas.openxmlformats.org/officeDocument/2006/relationships/hyperlink" Target="https://modelcontextprotocol.io/docs/2026-07-28/tutorials/security/security_best_practices" TargetMode="External"/><Relationship Id="rId19" Type="http://schemas.openxmlformats.org/officeDocument/2006/relationships/hyperlink" Target="https://www.rfc-editor.org/rfc/rfc8707.html" TargetMode="External"/><Relationship Id="rId20" Type="http://schemas.openxmlformats.org/officeDocument/2006/relationships/image" Target="media/image2.png"/><Relationship Id="rId21" Type="http://schemas.openxmlformats.org/officeDocument/2006/relationships/hyperlink" Target="https://www.rfc-editor.org/rfc/rfc8414.html" TargetMode="External"/><Relationship Id="rId22" Type="http://schemas.openxmlformats.org/officeDocument/2006/relationships/hyperlink" Target="https://www.rfc-editor.org/rfc/rfc9728.html" TargetMode="External"/><Relationship Id="rId23" Type="http://schemas.openxmlformats.org/officeDocument/2006/relationships/hyperlink" Target="https://www.rfc-editor.org/rfc/rfc6750.html" TargetMode="External"/><Relationship Id="rId24" Type="http://schemas.openxmlformats.org/officeDocument/2006/relationships/hyperlink" Target="https://modelcontextprotocol.io/specification/2026-07-28/basic/authorization/client-registration" TargetMode="External"/><Relationship Id="rId25" Type="http://schemas.openxmlformats.org/officeDocument/2006/relationships/hyperlink" Target="https://www.rfc-editor.org/rfc/rfc7591.html" TargetMode="External"/><Relationship Id="rId26" Type="http://schemas.openxmlformats.org/officeDocument/2006/relationships/hyperlink" Target="https://www.rfc-editor.org/rfc/rfc8252.html" TargetMode="External"/><Relationship Id="rId27" Type="http://schemas.openxmlformats.org/officeDocument/2006/relationships/hyperlink" Target="https://www.rfc-editor.org/rfc/rfc7636.html" TargetMode="External"/><Relationship Id="rId28" Type="http://schemas.openxmlformats.org/officeDocument/2006/relationships/hyperlink" Target="https://www.rfc-editor.org/rfc/rfc9700.html" TargetMode="External"/><Relationship Id="rId29" Type="http://schemas.openxmlformats.org/officeDocument/2006/relationships/hyperlink" Target="https://www.rfc-editor.org/rfc/rfc9207.html" TargetMode="External"/><Relationship Id="rId30" Type="http://schemas.openxmlformats.org/officeDocument/2006/relationships/hyperlink" Target="https://www.rfc-editor.org/rfc/rfc9068.html" TargetMode="External"/><Relationship Id="rId31" Type="http://schemas.openxmlformats.org/officeDocument/2006/relationships/hyperlink" Target="https://www.rfc-editor.org/rfc/rfc7662.html" TargetMode="External"/><Relationship Id="rId32" Type="http://schemas.openxmlformats.org/officeDocument/2006/relationships/hyperlink" Target="https://www.rfc-editor.org/rfc/rfc7009.html" TargetMode="External"/><Relationship Id="rId33" Type="http://schemas.openxmlformats.org/officeDocument/2006/relationships/hyperlink" Target="https://www.rfc-editor.org/rfc/rfc8693.html" TargetMode="External"/><Relationship Id="rId34" Type="http://schemas.openxmlformats.org/officeDocument/2006/relationships/hyperlink" Target="https://developers.openai.com/plugins/deploy/submission" TargetMode="External"/><Relationship Id="rId35" Type="http://schemas.openxmlformats.org/officeDocument/2006/relationships/hyperlink" Target="https://claude.com/docs/connectors/building/submission" TargetMode="External"/><Relationship Id="rId36" Type="http://schemas.openxmlformats.org/officeDocument/2006/relationships/hyperlink" Target="https://developers.openai.com/plugins/deploy/app-review" TargetMode="External"/><Relationship Id="rId37" Type="http://schemas.openxmlformats.org/officeDocument/2006/relationships/hyperlink" Target="https://claude.com/docs/connectors/building/review-criteria" TargetMode="External"/><Relationship Id="rId38" Type="http://schemas.openxmlformats.org/officeDocument/2006/relationships/hyperlink" Target="https://claude.com/docs/connectors/building/directory-vs-custom" TargetMode="External"/><Relationship Id="rId39" Type="http://schemas.openxmlformats.org/officeDocument/2006/relationships/hyperlink" Target="https://support.claude.com/en/articles/13145338-anthropic-software-directory-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OAuth e publicação do MCP Safra</dc:title>
  <dc:subject>Migração PSC integração MCP e publicação em catálogos</dc:subject>
  <dc:creator>Preparado para Athos</dc:creator>
  <cp:keywords/>
  <dc:description>generated by python-docx</dc:description>
  <cp:lastModifiedBy/>
  <cp:revision>1</cp:revision>
  <dcterms:created xsi:type="dcterms:W3CDTF">2013-12-23T23:15:00Z</dcterms:created>
  <dcterms:modified xsi:type="dcterms:W3CDTF">2013-12-23T23:15:00Z</dcterms:modified>
  <cp:category/>
</cp:coreProperties>
</file>