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LAB-4</w:t>
      </w:r>
    </w:p>
    <w:p w:rsidR="00000000" w:rsidDel="00000000" w:rsidP="00000000" w:rsidRDefault="00000000" w:rsidRPr="00000000" w14:paraId="0000004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44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LAB-5                      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895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73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05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87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120" w:before="360" w:line="240" w:lineRule="auto"/>
        <w:rPr>
          <w:color w:val="000000"/>
          <w:sz w:val="30"/>
          <w:szCs w:val="30"/>
        </w:rPr>
      </w:pPr>
      <w:bookmarkStart w:colFirst="0" w:colLast="0" w:name="_t8apokxo7mc5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The optimal number of epochs for training the model = 4</w:t>
      </w:r>
    </w:p>
    <w:p w:rsidR="00000000" w:rsidDel="00000000" w:rsidP="00000000" w:rsidRDefault="00000000" w:rsidRPr="00000000" w14:paraId="00000055">
      <w:pPr>
        <w:spacing w:line="313.84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