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E2761"/>
          <w:sz w:val="56"/>
          <w:szCs w:val="56"/>
        </w:rPr>
        <w:t xml:space="preserve">PAKO ENGINEERS</w:t>
      </w:r>
    </w:p>
    <w:p>
      <w:pPr>
        <w:spacing w:after="600" w:before="120"/>
        <w:jc w:val="center"/>
      </w:pPr>
      <w:r>
        <w:rPr>
          <w:color w:val="5B6B7A"/>
          <w:sz w:val="22"/>
          <w:szCs w:val="22"/>
        </w:rPr>
        <w:t xml:space="preserve">MANUFACTURER &amp; EXPORTER OF PRECISION MACHINED COMPONENTS</w:t>
      </w:r>
    </w:p>
    <w:p>
      <w:pPr>
        <w:spacing w:before="800"/>
        <w:jc w:val="center"/>
      </w:pPr>
      <w:r>
        <w:rPr>
          <w:b/>
          <w:bCs/>
          <w:color w:val="B0392B"/>
          <w:sz w:val="40"/>
          <w:szCs w:val="40"/>
        </w:rPr>
        <w:t xml:space="preserve">Website Development Specification</w:t>
      </w:r>
    </w:p>
    <w:p>
      <w:pPr>
        <w:spacing w:after="1200" w:before="120"/>
        <w:jc w:val="center"/>
      </w:pPr>
      <w:r>
        <w:rPr>
          <w:color w:val="5B6B7A"/>
          <w:sz w:val="24"/>
          <w:szCs w:val="24"/>
        </w:rPr>
        <w:t xml:space="preserve">Project Foundation, Design &amp; Build Document</w:t>
      </w:r>
    </w:p>
    <w:p>
      <w:pPr>
        <w:spacing w:before="2400"/>
        <w:jc w:val="center"/>
      </w:pPr>
      <w:r>
        <w:rPr>
          <w:i/>
          <w:iCs/>
          <w:color w:val="5B6B7A"/>
          <w:sz w:val="20"/>
          <w:szCs w:val="20"/>
        </w:rPr>
        <w:t xml:space="preserve">Prepared July 2026</w:t>
      </w:r>
    </w:p>
    <w:p>
      <w:r>
        <w:br w:type="page"/>
      </w:r>
    </w:p>
    <w:p>
      <w:pPr>
        <w:pStyle w:val="Heading1"/>
        <w:spacing w:after="240" w:before="480"/>
      </w:pPr>
      <w:r>
        <w:rPr>
          <w:b/>
          <w:bCs/>
          <w:color w:val="1E2761"/>
          <w:sz w:val="32"/>
          <w:szCs w:val="32"/>
        </w:rPr>
        <w:t xml:space="preserve">1. Executive Summary</w:t>
      </w:r>
    </w:p>
    <w:p>
      <w:pPr>
        <w:spacing w:after="160" w:line="276"/>
      </w:pPr>
      <w:r>
        <w:rPr>
          <w:sz w:val="21"/>
          <w:szCs w:val="21"/>
        </w:rPr>
        <w:t xml:space="preserve">Pako Engineers is a Sangli, Maharashtra-based precision machining company, established in 1994 and certified to ISO 9001:2015. It manufactures and exports shafts, sleeves, couplings, lock nuts and pump parts/accessories in stainless steel, duplex, super duplex and Nitronic 50, machined up to 1500 mm diameter and 14 metres in length. Its client base includes global OEMs and pump manufacturers such as Flowserve Corporation, EBARA Machinery, TMEIC, Valmet and DMW Corporation, with exports reaching Japan, Korea, Germany, Italy, France, the Netherlands, Switzerland, Canada, the USA, UAE, Oman and Saudi Arabia.</w:t>
      </w:r>
    </w:p>
    <w:p>
      <w:pPr>
        <w:spacing w:after="160" w:line="276"/>
      </w:pPr>
      <w:r>
        <w:rPr>
          <w:sz w:val="21"/>
          <w:szCs w:val="21"/>
        </w:rPr>
        <w:t xml:space="preserve">This document specifies the corporate website that will replace Pako Engineers' current site. It covers business goals, target audience, information architecture, page-by-page content and design requirements, functional and technical specifications, and a content/asset checklist — structured so it can be handed directly to a development team or an AI coding tool (e.g. Claude Code) to execute.</w:t>
      </w:r>
    </w:p>
    <w:p>
      <w:pPr>
        <w:pStyle w:val="Heading2"/>
        <w:spacing w:after="160" w:before="360"/>
      </w:pPr>
      <w:r>
        <w:rPr>
          <w:b/>
          <w:bCs/>
          <w:color w:val="1E2761"/>
          <w:sz w:val="24"/>
          <w:szCs w:val="24"/>
        </w:rPr>
        <w:t xml:space="preserve">Current State Assessment</w:t>
      </w:r>
    </w:p>
    <w:p>
      <w:pPr>
        <w:spacing w:after="160" w:line="276"/>
      </w:pPr>
      <w:r>
        <w:rPr>
          <w:sz w:val="21"/>
          <w:szCs w:val="21"/>
        </w:rPr>
        <w:t xml:space="preserve">The existing site (pakoshaft.com) was reviewed as part of this scope. It currently carries several credibility issues that this rebuild is designed to fix:</w:t>
      </w:r>
    </w:p>
    <w:p>
      <w:pPr>
        <w:pStyle w:val="ListParagraph"/>
        <w:numPr>
          <w:ilvl w:val="0"/>
          <w:numId w:val="2"/>
        </w:numPr>
        <w:spacing w:after="90" w:line="264"/>
      </w:pPr>
      <w:r>
        <w:rPr>
          <w:sz w:val="21"/>
          <w:szCs w:val="21"/>
        </w:rPr>
        <w:t xml:space="preserve">Incorrect company references — the About page and a hero slide refer to “Talbros Engineering Limited,” not Pako Engineers.</w:t>
      </w:r>
    </w:p>
    <w:p>
      <w:pPr>
        <w:pStyle w:val="ListParagraph"/>
        <w:numPr>
          <w:ilvl w:val="0"/>
          <w:numId w:val="2"/>
        </w:numPr>
        <w:spacing w:after="90" w:line="264"/>
      </w:pPr>
      <w:r>
        <w:rPr>
          <w:sz w:val="21"/>
          <w:szCs w:val="21"/>
        </w:rPr>
        <w:t xml:space="preserve">Inconsistent founding year (1997 on the website vs. 1994 in the company profile) and an ISO 9001:2008 reference, superseded by the current ISO 9001:2015 certification.</w:t>
      </w:r>
    </w:p>
    <w:p>
      <w:pPr>
        <w:pStyle w:val="ListParagraph"/>
        <w:numPr>
          <w:ilvl w:val="0"/>
          <w:numId w:val="2"/>
        </w:numPr>
        <w:spacing w:after="90" w:line="264"/>
      </w:pPr>
      <w:r>
        <w:rPr>
          <w:sz w:val="21"/>
          <w:szCs w:val="21"/>
        </w:rPr>
        <w:t xml:space="preserve">Placeholder “Lorem ipsum”-style filler text in the About, History, Process and Technology sections, and stock testimonials from unrelated names/companies.</w:t>
      </w:r>
    </w:p>
    <w:p>
      <w:pPr>
        <w:pStyle w:val="ListParagraph"/>
        <w:numPr>
          <w:ilvl w:val="0"/>
          <w:numId w:val="2"/>
        </w:numPr>
        <w:spacing w:after="90" w:line="264"/>
      </w:pPr>
      <w:r>
        <w:rPr>
          <w:sz w:val="21"/>
          <w:szCs w:val="21"/>
        </w:rPr>
        <w:t xml:space="preserve">No structured product catalogue reflecting actual capability (diameter/length ranges, materials, tolerances) despite this being the core purchasing information international buyers need.</w:t>
      </w:r>
    </w:p>
    <w:p>
      <w:pPr>
        <w:pStyle w:val="ListParagraph"/>
        <w:numPr>
          <w:ilvl w:val="0"/>
          <w:numId w:val="2"/>
        </w:numPr>
        <w:spacing w:after="90" w:line="264"/>
      </w:pPr>
      <w:r>
        <w:rPr>
          <w:sz w:val="21"/>
          <w:szCs w:val="21"/>
        </w:rPr>
        <w:t xml:space="preserve">No visible presence of real, named clients (Flowserve, EBARA, TMEIC, Valmet, DMW) despite these being significant trust signals for an export-driven manufacturer.</w:t>
      </w:r>
    </w:p>
    <w:p>
      <w:pPr>
        <w:spacing w:after="160" w:line="276"/>
      </w:pPr>
      <w:r>
        <w:rPr>
          <w:sz w:val="21"/>
          <w:szCs w:val="21"/>
        </w:rPr>
        <w:t xml:space="preserve">For a company selling into regulated, quality-sensitive markets (pump OEMs, oil &amp; gas, marine, power) on the strength of precision and certification, an inconsistent or templated web presence undermines the exact credibility the sales process depends on. The new site should read as accurate, specific and verifiable at every point.</w:t>
      </w:r>
    </w:p>
    <w:p>
      <w:pPr>
        <w:pStyle w:val="Heading1"/>
        <w:spacing w:after="240" w:before="480"/>
      </w:pPr>
      <w:r>
        <w:rPr>
          <w:b/>
          <w:bCs/>
          <w:color w:val="1E2761"/>
          <w:sz w:val="32"/>
          <w:szCs w:val="32"/>
        </w:rPr>
        <w:t xml:space="preserve">2. Company Profile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Mar>
              <w:top w:type="dxa" w:w="100"/>
              <w:left w:type="dxa" w:w="120"/>
              <w:bottom w:type="dxa" w:w="100"/>
              <w:right w:type="dxa" w:w="120"/>
            </w:tcMar>
          </w:tcPr>
          <w:p>
            <w:pPr>
              <w:jc w:val="left"/>
            </w:pPr>
            <w:r>
              <w:rPr>
                <w:b/>
                <w:bCs/>
                <w:color w:val="000000"/>
                <w:sz w:val="19"/>
                <w:szCs w:val="19"/>
              </w:rPr>
              <w:t xml:space="preserve">Legal / trading name</w:t>
            </w:r>
          </w:p>
        </w:tc>
        <w:tc>
          <w:tcPr>
            <w:tcW w:type="dxa" w:w="6160"/>
            <w:tcMar>
              <w:top w:type="dxa" w:w="100"/>
              <w:left w:type="dxa" w:w="120"/>
              <w:bottom w:type="dxa" w:w="100"/>
              <w:right w:type="dxa" w:w="120"/>
            </w:tcMar>
          </w:tcPr>
          <w:p>
            <w:pPr>
              <w:jc w:val="left"/>
            </w:pPr>
            <w:r>
              <w:rPr>
                <w:b w:val="false"/>
                <w:bCs w:val="false"/>
                <w:color w:val="000000"/>
                <w:sz w:val="19"/>
                <w:szCs w:val="19"/>
              </w:rPr>
              <w:t xml:space="preserve">Pako Engineers</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Established</w:t>
            </w:r>
          </w:p>
        </w:tc>
        <w:tc>
          <w:tcPr>
            <w:tcW w:type="dxa" w:w="6160"/>
            <w:tcMar>
              <w:top w:type="dxa" w:w="100"/>
              <w:left w:type="dxa" w:w="120"/>
              <w:bottom w:type="dxa" w:w="100"/>
              <w:right w:type="dxa" w:w="120"/>
            </w:tcMar>
          </w:tcPr>
          <w:p>
            <w:pPr>
              <w:jc w:val="left"/>
            </w:pPr>
            <w:r>
              <w:rPr>
                <w:b w:val="false"/>
                <w:bCs w:val="false"/>
                <w:color w:val="000000"/>
                <w:sz w:val="19"/>
                <w:szCs w:val="19"/>
              </w:rPr>
              <w:t xml:space="preserve">1994</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Certification</w:t>
            </w:r>
          </w:p>
        </w:tc>
        <w:tc>
          <w:tcPr>
            <w:tcW w:type="dxa" w:w="6160"/>
            <w:tcMar>
              <w:top w:type="dxa" w:w="100"/>
              <w:left w:type="dxa" w:w="120"/>
              <w:bottom w:type="dxa" w:w="100"/>
              <w:right w:type="dxa" w:w="120"/>
            </w:tcMar>
          </w:tcPr>
          <w:p>
            <w:pPr>
              <w:jc w:val="left"/>
            </w:pPr>
            <w:r>
              <w:rPr>
                <w:b w:val="false"/>
                <w:bCs w:val="false"/>
                <w:color w:val="000000"/>
                <w:sz w:val="19"/>
                <w:szCs w:val="19"/>
              </w:rPr>
              <w:t xml:space="preserve">ISO 9001:2015</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Registered works address</w:t>
            </w:r>
          </w:p>
        </w:tc>
        <w:tc>
          <w:tcPr>
            <w:tcW w:type="dxa" w:w="6160"/>
            <w:tcMar>
              <w:top w:type="dxa" w:w="100"/>
              <w:left w:type="dxa" w:w="120"/>
              <w:bottom w:type="dxa" w:w="100"/>
              <w:right w:type="dxa" w:w="120"/>
            </w:tcMar>
          </w:tcPr>
          <w:p>
            <w:pPr>
              <w:jc w:val="left"/>
            </w:pPr>
            <w:r>
              <w:rPr>
                <w:b w:val="false"/>
                <w:bCs w:val="false"/>
                <w:color w:val="000000"/>
                <w:sz w:val="19"/>
                <w:szCs w:val="19"/>
              </w:rPr>
              <w:t xml:space="preserve">Gat No. 453, M. No. 1230, Kirloskar Wadi Road, Burli, Tal. Palus, Sangli – 416308, Maharashtra, India</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Leadership</w:t>
            </w:r>
          </w:p>
        </w:tc>
        <w:tc>
          <w:tcPr>
            <w:tcW w:type="dxa" w:w="6160"/>
            <w:tcMar>
              <w:top w:type="dxa" w:w="100"/>
              <w:left w:type="dxa" w:w="120"/>
              <w:bottom w:type="dxa" w:w="100"/>
              <w:right w:type="dxa" w:w="120"/>
            </w:tcMar>
          </w:tcPr>
          <w:p>
            <w:pPr>
              <w:jc w:val="left"/>
            </w:pPr>
            <w:r>
              <w:rPr>
                <w:b w:val="false"/>
                <w:bCs w:val="false"/>
                <w:color w:val="000000"/>
                <w:sz w:val="19"/>
                <w:szCs w:val="19"/>
              </w:rPr>
              <w:t xml:space="preserve">Mr. Sudarshan Khot — CEO  |  Mr. Suhas Khot — Managing Director</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Workforce</w:t>
            </w:r>
          </w:p>
        </w:tc>
        <w:tc>
          <w:tcPr>
            <w:tcW w:type="dxa" w:w="6160"/>
            <w:tcMar>
              <w:top w:type="dxa" w:w="100"/>
              <w:left w:type="dxa" w:w="120"/>
              <w:bottom w:type="dxa" w:w="100"/>
              <w:right w:type="dxa" w:w="120"/>
            </w:tcMar>
          </w:tcPr>
          <w:p>
            <w:pPr>
              <w:jc w:val="left"/>
            </w:pPr>
            <w:r>
              <w:rPr>
                <w:b w:val="false"/>
                <w:bCs w:val="false"/>
                <w:color w:val="000000"/>
                <w:sz w:val="19"/>
                <w:szCs w:val="19"/>
              </w:rPr>
              <w:t xml:space="preserve">47 total: 2 Engineers, 2 Officers, 3 Technical Supervisors, 2 Quality Control, 2 Programmers, 14 Skilled Labour, 10 Semi-Skilled Labour, 12 Helping Staff</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Core activity</w:t>
            </w:r>
          </w:p>
        </w:tc>
        <w:tc>
          <w:tcPr>
            <w:tcW w:type="dxa" w:w="6160"/>
            <w:tcMar>
              <w:top w:type="dxa" w:w="100"/>
              <w:left w:type="dxa" w:w="120"/>
              <w:bottom w:type="dxa" w:w="100"/>
              <w:right w:type="dxa" w:w="120"/>
            </w:tcMar>
          </w:tcPr>
          <w:p>
            <w:pPr>
              <w:jc w:val="left"/>
            </w:pPr>
            <w:r>
              <w:rPr>
                <w:b w:val="false"/>
                <w:bCs w:val="false"/>
                <w:color w:val="000000"/>
                <w:sz w:val="19"/>
                <w:szCs w:val="19"/>
              </w:rPr>
              <w:t xml:space="preserve">Manufacture and export of shafts, sleeves, couplings, lock nuts, and pump parts/accessories in all materials of construction</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Materials handled</w:t>
            </w:r>
          </w:p>
        </w:tc>
        <w:tc>
          <w:tcPr>
            <w:tcW w:type="dxa" w:w="6160"/>
            <w:tcMar>
              <w:top w:type="dxa" w:w="100"/>
              <w:left w:type="dxa" w:w="120"/>
              <w:bottom w:type="dxa" w:w="100"/>
              <w:right w:type="dxa" w:w="120"/>
            </w:tcMar>
          </w:tcPr>
          <w:p>
            <w:pPr>
              <w:jc w:val="left"/>
            </w:pPr>
            <w:r>
              <w:rPr>
                <w:b w:val="false"/>
                <w:bCs w:val="false"/>
                <w:color w:val="000000"/>
                <w:sz w:val="19"/>
                <w:szCs w:val="19"/>
              </w:rPr>
              <w:t xml:space="preserve">Stainless steel (SS304, SS316, 410, 410T), Duplex &amp; Super Duplex, Nitronic 50, EN-series steels, K-Monel 400/500; bush materials: Gunmetal, Feroform F363, Neoprene rubber, RG12, Thordon</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Machining capacity</w:t>
            </w:r>
          </w:p>
        </w:tc>
        <w:tc>
          <w:tcPr>
            <w:tcW w:type="dxa" w:w="6160"/>
            <w:tcMar>
              <w:top w:type="dxa" w:w="100"/>
              <w:left w:type="dxa" w:w="120"/>
              <w:bottom w:type="dxa" w:w="100"/>
              <w:right w:type="dxa" w:w="120"/>
            </w:tcMar>
          </w:tcPr>
          <w:p>
            <w:pPr>
              <w:jc w:val="left"/>
            </w:pPr>
            <w:r>
              <w:rPr>
                <w:b w:val="false"/>
                <w:bCs w:val="false"/>
                <w:color w:val="000000"/>
                <w:sz w:val="19"/>
                <w:szCs w:val="19"/>
              </w:rPr>
              <w:t xml:space="preserve">Turning: 50–1500 mm diameter, up to 14,000 mm length  |  Grinding: 50–800 mm diameter, up to 6,500 mm length  |  CNC Lathe: up to 500 mm diameter, 10,000 mm length</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In-house testing</w:t>
            </w:r>
          </w:p>
        </w:tc>
        <w:tc>
          <w:tcPr>
            <w:tcW w:type="dxa" w:w="6160"/>
            <w:tcMar>
              <w:top w:type="dxa" w:w="100"/>
              <w:left w:type="dxa" w:w="120"/>
              <w:bottom w:type="dxa" w:w="100"/>
              <w:right w:type="dxa" w:w="120"/>
            </w:tcMar>
          </w:tcPr>
          <w:p>
            <w:pPr>
              <w:jc w:val="left"/>
            </w:pPr>
            <w:r>
              <w:rPr>
                <w:b w:val="false"/>
                <w:bCs w:val="false"/>
                <w:color w:val="000000"/>
                <w:sz w:val="19"/>
                <w:szCs w:val="19"/>
              </w:rPr>
              <w:t xml:space="preserve">Hardness testing, surface check, dye-penetrant NDT</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Outsourced testing</w:t>
            </w:r>
          </w:p>
        </w:tc>
        <w:tc>
          <w:tcPr>
            <w:tcW w:type="dxa" w:w="6160"/>
            <w:tcMar>
              <w:top w:type="dxa" w:w="100"/>
              <w:left w:type="dxa" w:w="120"/>
              <w:bottom w:type="dxa" w:w="100"/>
              <w:right w:type="dxa" w:w="120"/>
            </w:tcMar>
          </w:tcPr>
          <w:p>
            <w:pPr>
              <w:jc w:val="left"/>
            </w:pPr>
            <w:r>
              <w:rPr>
                <w:b w:val="false"/>
                <w:bCs w:val="false"/>
                <w:color w:val="000000"/>
                <w:sz w:val="19"/>
                <w:szCs w:val="19"/>
              </w:rPr>
              <w:t xml:space="preserve">Ultrasonic testing, metallurgical (physical &amp; chemical), heat treatment, radiography NDT, PMI</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Key clients</w:t>
            </w:r>
          </w:p>
        </w:tc>
        <w:tc>
          <w:tcPr>
            <w:tcW w:type="dxa" w:w="6160"/>
            <w:tcMar>
              <w:top w:type="dxa" w:w="100"/>
              <w:left w:type="dxa" w:w="120"/>
              <w:bottom w:type="dxa" w:w="100"/>
              <w:right w:type="dxa" w:w="120"/>
            </w:tcMar>
          </w:tcPr>
          <w:p>
            <w:pPr>
              <w:jc w:val="left"/>
            </w:pPr>
            <w:r>
              <w:rPr>
                <w:b w:val="false"/>
                <w:bCs w:val="false"/>
                <w:color w:val="000000"/>
                <w:sz w:val="19"/>
                <w:szCs w:val="19"/>
              </w:rPr>
              <w:t xml:space="preserve">Flowserve Corporation, EBARA Machinery India, TMEIC, Valmet (Sweden), DMW Corporation, Nash</w:t>
            </w:r>
          </w:p>
        </w:tc>
      </w:tr>
      <w:tr>
        <w:tc>
          <w:tcPr>
            <w:tcW w:type="dxa" w:w="3200"/>
            <w:shd w:fill="F4F5F7" w:color="auto" w:val="clear"/>
            <w:tcMar>
              <w:top w:type="dxa" w:w="100"/>
              <w:left w:type="dxa" w:w="120"/>
              <w:bottom w:type="dxa" w:w="100"/>
              <w:right w:type="dxa" w:w="120"/>
            </w:tcMar>
          </w:tcPr>
          <w:p>
            <w:pPr>
              <w:jc w:val="left"/>
            </w:pPr>
            <w:r>
              <w:rPr>
                <w:b/>
                <w:bCs/>
                <w:color w:val="000000"/>
                <w:sz w:val="19"/>
                <w:szCs w:val="19"/>
              </w:rPr>
              <w:t xml:space="preserve">Export markets</w:t>
            </w:r>
          </w:p>
        </w:tc>
        <w:tc>
          <w:tcPr>
            <w:tcW w:type="dxa" w:w="6160"/>
            <w:tcMar>
              <w:top w:type="dxa" w:w="100"/>
              <w:left w:type="dxa" w:w="120"/>
              <w:bottom w:type="dxa" w:w="100"/>
              <w:right w:type="dxa" w:w="120"/>
            </w:tcMar>
          </w:tcPr>
          <w:p>
            <w:pPr>
              <w:jc w:val="left"/>
            </w:pPr>
            <w:r>
              <w:rPr>
                <w:b w:val="false"/>
                <w:bCs w:val="false"/>
                <w:color w:val="000000"/>
                <w:sz w:val="19"/>
                <w:szCs w:val="19"/>
              </w:rPr>
              <w:t xml:space="preserve">Japan, Korea, Germany, Italy, France, Netherlands, Switzerland, Canada, USA, UAE, Oman, Saudi Arabia</w:t>
            </w:r>
          </w:p>
        </w:tc>
      </w:tr>
    </w:tbl>
    <w:p>
      <w:pPr>
        <w:spacing w:after="160" w:line="276"/>
      </w:pPr>
      <w:r>
        <w:rPr>
          <w:sz w:val="21"/>
          <w:szCs w:val="21"/>
        </w:rPr>
        <w:t xml:space="preserve"/>
      </w:r>
    </w:p>
    <w:p>
      <w:pPr>
        <w:pStyle w:val="Heading1"/>
        <w:spacing w:after="240" w:before="480"/>
      </w:pPr>
      <w:r>
        <w:rPr>
          <w:b/>
          <w:bCs/>
          <w:color w:val="1E2761"/>
          <w:sz w:val="32"/>
          <w:szCs w:val="32"/>
        </w:rPr>
        <w:t xml:space="preserve">3. Business Goals &amp; Success Metrics</w:t>
      </w:r>
    </w:p>
    <w:p>
      <w:pPr>
        <w:pStyle w:val="Heading2"/>
        <w:spacing w:after="160" w:before="360"/>
      </w:pPr>
      <w:r>
        <w:rPr>
          <w:b/>
          <w:bCs/>
          <w:color w:val="1E2761"/>
          <w:sz w:val="24"/>
          <w:szCs w:val="24"/>
        </w:rPr>
        <w:t xml:space="preserve">Primary Goals</w:t>
      </w:r>
    </w:p>
    <w:p>
      <w:pPr>
        <w:pStyle w:val="ListParagraph"/>
        <w:numPr>
          <w:ilvl w:val="0"/>
          <w:numId w:val="2"/>
        </w:numPr>
        <w:spacing w:after="90" w:line="264"/>
      </w:pPr>
      <w:r>
        <w:rPr>
          <w:sz w:val="21"/>
          <w:szCs w:val="21"/>
        </w:rPr>
        <w:t xml:space="preserve">Establish Pako Engineers as a credible, export-ready precision manufacturing partner to international pump and OEM buyers.</w:t>
      </w:r>
    </w:p>
    <w:p>
      <w:pPr>
        <w:pStyle w:val="ListParagraph"/>
        <w:numPr>
          <w:ilvl w:val="0"/>
          <w:numId w:val="2"/>
        </w:numPr>
        <w:spacing w:after="90" w:line="264"/>
      </w:pPr>
      <w:r>
        <w:rPr>
          <w:sz w:val="21"/>
          <w:szCs w:val="21"/>
        </w:rPr>
        <w:t xml:space="preserve">Replace the current templated site with one built entirely on verified company content — no placeholder text, no misattributed company names.</w:t>
      </w:r>
    </w:p>
    <w:p>
      <w:pPr>
        <w:pStyle w:val="ListParagraph"/>
        <w:numPr>
          <w:ilvl w:val="0"/>
          <w:numId w:val="2"/>
        </w:numPr>
        <w:spacing w:after="90" w:line="264"/>
      </w:pPr>
      <w:r>
        <w:rPr>
          <w:sz w:val="21"/>
          <w:szCs w:val="21"/>
        </w:rPr>
        <w:t xml:space="preserve">Present manufacturing capability (materials, size ranges, tolerances, testing) in a form procurement engineers can evaluate in under two minutes.</w:t>
      </w:r>
    </w:p>
    <w:p>
      <w:pPr>
        <w:pStyle w:val="ListParagraph"/>
        <w:numPr>
          <w:ilvl w:val="0"/>
          <w:numId w:val="2"/>
        </w:numPr>
        <w:spacing w:after="90" w:line="264"/>
      </w:pPr>
      <w:r>
        <w:rPr>
          <w:sz w:val="21"/>
          <w:szCs w:val="21"/>
        </w:rPr>
        <w:t xml:space="preserve">Generate qualified inbound enquiries via a structured RFQ/contact form, reducing dependence on trade portals (IndiaMART, ExportersIndia) alone.</w:t>
      </w:r>
    </w:p>
    <w:p>
      <w:pPr>
        <w:pStyle w:val="ListParagraph"/>
        <w:numPr>
          <w:ilvl w:val="0"/>
          <w:numId w:val="2"/>
        </w:numPr>
        <w:spacing w:after="90" w:line="264"/>
      </w:pPr>
      <w:r>
        <w:rPr>
          <w:sz w:val="21"/>
          <w:szCs w:val="21"/>
        </w:rPr>
        <w:t xml:space="preserve">Support SEO visibility for industrial buyers searching by product (“precision shaft manufacturer India”, “duplex steel sleeve exporter”) and by client-adjacent terms.</w:t>
      </w:r>
    </w:p>
    <w:p>
      <w:pPr>
        <w:pStyle w:val="Heading2"/>
        <w:spacing w:after="160" w:before="360"/>
      </w:pPr>
      <w:r>
        <w:rPr>
          <w:b/>
          <w:bCs/>
          <w:color w:val="1E2761"/>
          <w:sz w:val="24"/>
          <w:szCs w:val="24"/>
        </w:rPr>
        <w:t xml:space="preserve">Success Metrics</w:t>
      </w:r>
    </w:p>
    <w:p>
      <w:pPr>
        <w:pStyle w:val="ListParagraph"/>
        <w:numPr>
          <w:ilvl w:val="0"/>
          <w:numId w:val="2"/>
        </w:numPr>
        <w:spacing w:after="90" w:line="264"/>
      </w:pPr>
      <w:r>
        <w:rPr>
          <w:sz w:val="21"/>
          <w:szCs w:val="21"/>
        </w:rPr>
        <w:t xml:space="preserve">Increase in direct enquiry-form submissions vs. current trade-portal-only leads.</w:t>
      </w:r>
    </w:p>
    <w:p>
      <w:pPr>
        <w:pStyle w:val="ListParagraph"/>
        <w:numPr>
          <w:ilvl w:val="0"/>
          <w:numId w:val="2"/>
        </w:numPr>
        <w:spacing w:after="90" w:line="264"/>
      </w:pPr>
      <w:r>
        <w:rPr>
          <w:sz w:val="21"/>
          <w:szCs w:val="21"/>
        </w:rPr>
        <w:t xml:space="preserve">Reduced enquiry-to-first-response time via structured RFQ data capture.</w:t>
      </w:r>
    </w:p>
    <w:p>
      <w:pPr>
        <w:pStyle w:val="ListParagraph"/>
        <w:numPr>
          <w:ilvl w:val="0"/>
          <w:numId w:val="2"/>
        </w:numPr>
        <w:spacing w:after="90" w:line="264"/>
      </w:pPr>
      <w:r>
        <w:rPr>
          <w:sz w:val="21"/>
          <w:szCs w:val="21"/>
        </w:rPr>
        <w:t xml:space="preserve">Organic search visibility for target product + material keyword combinations.</w:t>
      </w:r>
    </w:p>
    <w:p>
      <w:pPr>
        <w:pStyle w:val="ListParagraph"/>
        <w:numPr>
          <w:ilvl w:val="0"/>
          <w:numId w:val="2"/>
        </w:numPr>
        <w:spacing w:after="90" w:line="264"/>
      </w:pPr>
      <w:r>
        <w:rPr>
          <w:sz w:val="21"/>
          <w:szCs w:val="21"/>
        </w:rPr>
        <w:t xml:space="preserve">Improved average session duration on Products and Capabilities pages (an indicator of genuine buyer evaluation, not bounce).</w:t>
      </w:r>
    </w:p>
    <w:p>
      <w:pPr>
        <w:pStyle w:val="Heading1"/>
        <w:spacing w:after="240" w:before="480"/>
      </w:pPr>
      <w:r>
        <w:rPr>
          <w:b/>
          <w:bCs/>
          <w:color w:val="1E2761"/>
          <w:sz w:val="32"/>
          <w:szCs w:val="32"/>
        </w:rPr>
        <w:t xml:space="preserve">4. Target Audience &amp; Buyer Personas</w:t>
      </w:r>
    </w:p>
    <w:p>
      <w:pPr>
        <w:pStyle w:val="Heading3"/>
        <w:spacing w:after="120" w:before="240"/>
      </w:pPr>
      <w:r>
        <w:rPr>
          <w:b/>
          <w:bCs/>
          <w:color w:val="5B6B7A"/>
          <w:sz w:val="21"/>
          <w:szCs w:val="21"/>
        </w:rPr>
        <w:t xml:space="preserve">Persona 1 — International Procurement / Supply Chain Manager</w:t>
      </w:r>
    </w:p>
    <w:p>
      <w:pPr>
        <w:spacing w:after="160" w:line="276"/>
      </w:pPr>
      <w:r>
        <w:rPr>
          <w:sz w:val="21"/>
          <w:szCs w:val="21"/>
        </w:rPr>
        <w:t xml:space="preserve">Sources components for a pump OEM or industrial manufacturer (profile similar to Flowserve, EBARA, TMEIC contacts already engaged). Needs fast confirmation of material grades, size capacity, certifications and export experience before shortlisting a vendor. Primary CTA: request a quote / download capability sheet.</w:t>
      </w:r>
    </w:p>
    <w:p>
      <w:pPr>
        <w:pStyle w:val="Heading3"/>
        <w:spacing w:after="120" w:before="240"/>
      </w:pPr>
      <w:r>
        <w:rPr>
          <w:b/>
          <w:bCs/>
          <w:color w:val="5B6B7A"/>
          <w:sz w:val="21"/>
          <w:szCs w:val="21"/>
        </w:rPr>
        <w:t xml:space="preserve">Persona 2 — Quality / Technical Approval Engineer</w:t>
      </w:r>
    </w:p>
    <w:p>
      <w:pPr>
        <w:spacing w:after="160" w:line="276"/>
      </w:pPr>
      <w:r>
        <w:rPr>
          <w:sz w:val="21"/>
          <w:szCs w:val="21"/>
        </w:rPr>
        <w:t xml:space="preserve">Evaluates a potential supplier's testing and quality infrastructure before sign-off. Needs visible detail on in-house vs. outsourced testing (NDT, PMI, metallurgical testing), tolerances achieved, and ISO certification. Primary CTA: view Quality &amp; Testing page, download ISO certificate.</w:t>
      </w:r>
    </w:p>
    <w:p>
      <w:pPr>
        <w:pStyle w:val="Heading3"/>
        <w:spacing w:after="120" w:before="240"/>
      </w:pPr>
      <w:r>
        <w:rPr>
          <w:b/>
          <w:bCs/>
          <w:color w:val="5B6B7A"/>
          <w:sz w:val="21"/>
          <w:szCs w:val="21"/>
        </w:rPr>
        <w:t xml:space="preserve">Persona 3 — Domestic Buyer / Agent (India)</w:t>
      </w:r>
    </w:p>
    <w:p>
      <w:pPr>
        <w:spacing w:after="160" w:line="276"/>
      </w:pPr>
      <w:r>
        <w:rPr>
          <w:sz w:val="21"/>
          <w:szCs w:val="21"/>
        </w:rPr>
        <w:t xml:space="preserve">Found via IndiaMART, ExportersIndia or Justdial; researching independently before calling. Needs quick trust confirmation (years in business, client list, photos of real facility) and a simple way to call or WhatsApp. Primary CTA: click-to-call, WhatsApp enquiry.</w:t>
      </w:r>
    </w:p>
    <w:p>
      <w:pPr>
        <w:pStyle w:val="Heading1"/>
        <w:spacing w:after="240" w:before="480"/>
      </w:pPr>
      <w:r>
        <w:rPr>
          <w:b/>
          <w:bCs/>
          <w:color w:val="1E2761"/>
          <w:sz w:val="32"/>
          <w:szCs w:val="32"/>
        </w:rPr>
        <w:t xml:space="preserve">5. Brand &amp; Visual Design Direction</w:t>
      </w:r>
    </w:p>
    <w:p>
      <w:pPr>
        <w:pStyle w:val="Heading2"/>
        <w:spacing w:after="160" w:before="360"/>
      </w:pPr>
      <w:r>
        <w:rPr>
          <w:b/>
          <w:bCs/>
          <w:color w:val="1E2761"/>
          <w:sz w:val="24"/>
          <w:szCs w:val="24"/>
        </w:rPr>
        <w:t xml:space="preserve">Positioning</w:t>
      </w:r>
    </w:p>
    <w:p>
      <w:pPr>
        <w:spacing w:after="160" w:line="276"/>
      </w:pPr>
      <w:r>
        <w:rPr>
          <w:sz w:val="21"/>
          <w:szCs w:val="21"/>
        </w:rPr>
        <w:t xml:space="preserve">“Precision-engineered shafts and pump components, trusted by global OEMs since 1994.” The visual identity should read as an established, quality-certified industrial exporter — not a small local job shop and not an over-designed startup. Restraint and specificity (real numbers, real photos, real client names) do more work here than decoration.</w:t>
      </w:r>
    </w:p>
    <w:p>
      <w:pPr>
        <w:pStyle w:val="Heading2"/>
        <w:spacing w:after="160" w:before="360"/>
      </w:pPr>
      <w:r>
        <w:rPr>
          <w:b/>
          <w:bCs/>
          <w:color w:val="1E2761"/>
          <w:sz w:val="24"/>
          <w:szCs w:val="24"/>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shd w:fill="1E2761" w:color="auto" w:val="clear"/>
            <w:tcMar>
              <w:top w:type="dxa" w:w="100"/>
              <w:left w:type="dxa" w:w="120"/>
              <w:bottom w:type="dxa" w:w="100"/>
              <w:right w:type="dxa" w:w="120"/>
            </w:tcMar>
          </w:tcPr>
          <w:p>
            <w:pPr>
              <w:jc w:val="left"/>
            </w:pPr>
            <w:r>
              <w:rPr>
                <w:b/>
                <w:bCs/>
                <w:color w:val="FFFFFF"/>
                <w:sz w:val="19"/>
                <w:szCs w:val="19"/>
              </w:rPr>
              <w:t xml:space="preserve">Role</w:t>
            </w:r>
          </w:p>
        </w:tc>
        <w:tc>
          <w:tcPr>
            <w:tcW w:type="dxa" w:w="2400"/>
            <w:shd w:fill="1E2761" w:color="auto" w:val="clear"/>
            <w:tcMar>
              <w:top w:type="dxa" w:w="100"/>
              <w:left w:type="dxa" w:w="120"/>
              <w:bottom w:type="dxa" w:w="100"/>
              <w:right w:type="dxa" w:w="120"/>
            </w:tcMar>
          </w:tcPr>
          <w:p>
            <w:pPr>
              <w:jc w:val="left"/>
            </w:pPr>
            <w:r>
              <w:rPr>
                <w:b/>
                <w:bCs/>
                <w:color w:val="FFFFFF"/>
                <w:sz w:val="19"/>
                <w:szCs w:val="19"/>
              </w:rPr>
              <w:t xml:space="preserve">Colour</w:t>
            </w:r>
          </w:p>
        </w:tc>
        <w:tc>
          <w:tcPr>
            <w:tcW w:type="dxa" w:w="2400"/>
            <w:shd w:fill="1E2761" w:color="auto" w:val="clear"/>
            <w:tcMar>
              <w:top w:type="dxa" w:w="100"/>
              <w:left w:type="dxa" w:w="120"/>
              <w:bottom w:type="dxa" w:w="100"/>
              <w:right w:type="dxa" w:w="120"/>
            </w:tcMar>
          </w:tcPr>
          <w:p>
            <w:pPr>
              <w:jc w:val="left"/>
            </w:pPr>
            <w:r>
              <w:rPr>
                <w:b/>
                <w:bCs/>
                <w:color w:val="FFFFFF"/>
                <w:sz w:val="19"/>
                <w:szCs w:val="19"/>
              </w:rPr>
              <w:t xml:space="preserve">Hex</w:t>
            </w:r>
          </w:p>
        </w:tc>
        <w:tc>
          <w:tcPr>
            <w:tcW w:type="dxa" w:w="2160"/>
            <w:shd w:fill="1E2761" w:color="auto" w:val="clear"/>
            <w:tcMar>
              <w:top w:type="dxa" w:w="100"/>
              <w:left w:type="dxa" w:w="120"/>
              <w:bottom w:type="dxa" w:w="100"/>
              <w:right w:type="dxa" w:w="120"/>
            </w:tcMar>
          </w:tcPr>
          <w:p>
            <w:pPr>
              <w:jc w:val="left"/>
            </w:pPr>
            <w:r>
              <w:rPr>
                <w:b/>
                <w:bCs/>
                <w:color w:val="FFFFFF"/>
                <w:sz w:val="19"/>
                <w:szCs w:val="19"/>
              </w:rPr>
              <w:t xml:space="preserve">Use</w:t>
            </w:r>
          </w:p>
        </w:tc>
      </w:tr>
      <w:tr>
        <w:tc>
          <w:tcPr>
            <w:tcW w:type="dxa" w:w="2400"/>
            <w:tcMar>
              <w:top w:type="dxa" w:w="100"/>
              <w:left w:type="dxa" w:w="120"/>
              <w:bottom w:type="dxa" w:w="100"/>
              <w:right w:type="dxa" w:w="120"/>
            </w:tcMar>
          </w:tcPr>
          <w:p>
            <w:pPr>
              <w:jc w:val="left"/>
            </w:pPr>
            <w:r>
              <w:rPr>
                <w:b w:val="false"/>
                <w:bCs w:val="false"/>
                <w:color w:val="000000"/>
                <w:sz w:val="19"/>
                <w:szCs w:val="19"/>
              </w:rPr>
              <w:t xml:space="preserve">Primary</w:t>
            </w:r>
          </w:p>
        </w:tc>
        <w:tc>
          <w:tcPr>
            <w:tcW w:type="dxa" w:w="2400"/>
            <w:tcMar>
              <w:top w:type="dxa" w:w="100"/>
              <w:left w:type="dxa" w:w="120"/>
              <w:bottom w:type="dxa" w:w="100"/>
              <w:right w:type="dxa" w:w="120"/>
            </w:tcMar>
          </w:tcPr>
          <w:p>
            <w:pPr>
              <w:jc w:val="left"/>
            </w:pPr>
            <w:r>
              <w:rPr>
                <w:b w:val="false"/>
                <w:bCs w:val="false"/>
                <w:color w:val="000000"/>
                <w:sz w:val="19"/>
                <w:szCs w:val="19"/>
              </w:rPr>
              <w:t xml:space="preserve">Steel Navy</w:t>
            </w:r>
          </w:p>
        </w:tc>
        <w:tc>
          <w:tcPr>
            <w:tcW w:type="dxa" w:w="2400"/>
            <w:tcMar>
              <w:top w:type="dxa" w:w="100"/>
              <w:left w:type="dxa" w:w="120"/>
              <w:bottom w:type="dxa" w:w="100"/>
              <w:right w:type="dxa" w:w="120"/>
            </w:tcMar>
          </w:tcPr>
          <w:p>
            <w:pPr>
              <w:jc w:val="left"/>
            </w:pPr>
            <w:r>
              <w:rPr>
                <w:b w:val="false"/>
                <w:bCs w:val="false"/>
                <w:color w:val="000000"/>
                <w:sz w:val="19"/>
                <w:szCs w:val="19"/>
              </w:rPr>
              <w:t xml:space="preserve">#1E2761</w:t>
            </w:r>
          </w:p>
        </w:tc>
        <w:tc>
          <w:tcPr>
            <w:tcW w:type="dxa" w:w="2160"/>
            <w:tcMar>
              <w:top w:type="dxa" w:w="100"/>
              <w:left w:type="dxa" w:w="120"/>
              <w:bottom w:type="dxa" w:w="100"/>
              <w:right w:type="dxa" w:w="120"/>
            </w:tcMar>
          </w:tcPr>
          <w:p>
            <w:pPr>
              <w:jc w:val="left"/>
            </w:pPr>
            <w:r>
              <w:rPr>
                <w:b w:val="false"/>
                <w:bCs w:val="false"/>
                <w:color w:val="000000"/>
                <w:sz w:val="19"/>
                <w:szCs w:val="19"/>
              </w:rPr>
              <w:t xml:space="preserve">Headers, nav, footer</w:t>
            </w:r>
          </w:p>
        </w:tc>
      </w:tr>
      <w:tr>
        <w:tc>
          <w:tcPr>
            <w:tcW w:type="dxa" w:w="2400"/>
            <w:shd w:fill="F4F5F7" w:color="auto" w:val="clear"/>
            <w:tcMar>
              <w:top w:type="dxa" w:w="100"/>
              <w:left w:type="dxa" w:w="120"/>
              <w:bottom w:type="dxa" w:w="100"/>
              <w:right w:type="dxa" w:w="120"/>
            </w:tcMar>
          </w:tcPr>
          <w:p>
            <w:pPr>
              <w:jc w:val="left"/>
            </w:pPr>
            <w:r>
              <w:rPr>
                <w:b w:val="false"/>
                <w:bCs w:val="false"/>
                <w:color w:val="000000"/>
                <w:sz w:val="19"/>
                <w:szCs w:val="19"/>
              </w:rPr>
              <w:t xml:space="preserve">Secondary</w:t>
            </w:r>
          </w:p>
        </w:tc>
        <w:tc>
          <w:tcPr>
            <w:tcW w:type="dxa" w:w="2400"/>
            <w:shd w:fill="F4F5F7" w:color="auto" w:val="clear"/>
            <w:tcMar>
              <w:top w:type="dxa" w:w="100"/>
              <w:left w:type="dxa" w:w="120"/>
              <w:bottom w:type="dxa" w:w="100"/>
              <w:right w:type="dxa" w:w="120"/>
            </w:tcMar>
          </w:tcPr>
          <w:p>
            <w:pPr>
              <w:jc w:val="left"/>
            </w:pPr>
            <w:r>
              <w:rPr>
                <w:b w:val="false"/>
                <w:bCs w:val="false"/>
                <w:color w:val="000000"/>
                <w:sz w:val="19"/>
                <w:szCs w:val="19"/>
              </w:rPr>
              <w:t xml:space="preserve">Gunmetal Grey</w:t>
            </w:r>
          </w:p>
        </w:tc>
        <w:tc>
          <w:tcPr>
            <w:tcW w:type="dxa" w:w="2400"/>
            <w:shd w:fill="F4F5F7" w:color="auto" w:val="clear"/>
            <w:tcMar>
              <w:top w:type="dxa" w:w="100"/>
              <w:left w:type="dxa" w:w="120"/>
              <w:bottom w:type="dxa" w:w="100"/>
              <w:right w:type="dxa" w:w="120"/>
            </w:tcMar>
          </w:tcPr>
          <w:p>
            <w:pPr>
              <w:jc w:val="left"/>
            </w:pPr>
            <w:r>
              <w:rPr>
                <w:b w:val="false"/>
                <w:bCs w:val="false"/>
                <w:color w:val="000000"/>
                <w:sz w:val="19"/>
                <w:szCs w:val="19"/>
              </w:rPr>
              <w:t xml:space="preserve">#5B6B7A</w:t>
            </w:r>
          </w:p>
        </w:tc>
        <w:tc>
          <w:tcPr>
            <w:tcW w:type="dxa" w:w="2160"/>
            <w:shd w:fill="F4F5F7" w:color="auto" w:val="clear"/>
            <w:tcMar>
              <w:top w:type="dxa" w:w="100"/>
              <w:left w:type="dxa" w:w="120"/>
              <w:bottom w:type="dxa" w:w="100"/>
              <w:right w:type="dxa" w:w="120"/>
            </w:tcMar>
          </w:tcPr>
          <w:p>
            <w:pPr>
              <w:jc w:val="left"/>
            </w:pPr>
            <w:r>
              <w:rPr>
                <w:b w:val="false"/>
                <w:bCs w:val="false"/>
                <w:color w:val="000000"/>
                <w:sz w:val="19"/>
                <w:szCs w:val="19"/>
              </w:rPr>
              <w:t xml:space="preserve">Body text, secondary UI</w:t>
            </w:r>
          </w:p>
        </w:tc>
      </w:tr>
      <w:tr>
        <w:tc>
          <w:tcPr>
            <w:tcW w:type="dxa" w:w="2400"/>
            <w:tcMar>
              <w:top w:type="dxa" w:w="100"/>
              <w:left w:type="dxa" w:w="120"/>
              <w:bottom w:type="dxa" w:w="100"/>
              <w:right w:type="dxa" w:w="120"/>
            </w:tcMar>
          </w:tcPr>
          <w:p>
            <w:pPr>
              <w:jc w:val="left"/>
            </w:pPr>
            <w:r>
              <w:rPr>
                <w:b w:val="false"/>
                <w:bCs w:val="false"/>
                <w:color w:val="000000"/>
                <w:sz w:val="19"/>
                <w:szCs w:val="19"/>
              </w:rPr>
              <w:t xml:space="preserve">Accent</w:t>
            </w:r>
          </w:p>
        </w:tc>
        <w:tc>
          <w:tcPr>
            <w:tcW w:type="dxa" w:w="2400"/>
            <w:tcMar>
              <w:top w:type="dxa" w:w="100"/>
              <w:left w:type="dxa" w:w="120"/>
              <w:bottom w:type="dxa" w:w="100"/>
              <w:right w:type="dxa" w:w="120"/>
            </w:tcMar>
          </w:tcPr>
          <w:p>
            <w:pPr>
              <w:jc w:val="left"/>
            </w:pPr>
            <w:r>
              <w:rPr>
                <w:b w:val="false"/>
                <w:bCs w:val="false"/>
                <w:color w:val="000000"/>
                <w:sz w:val="19"/>
                <w:szCs w:val="19"/>
              </w:rPr>
              <w:t xml:space="preserve">Oxide Rust</w:t>
            </w:r>
          </w:p>
        </w:tc>
        <w:tc>
          <w:tcPr>
            <w:tcW w:type="dxa" w:w="2400"/>
            <w:tcMar>
              <w:top w:type="dxa" w:w="100"/>
              <w:left w:type="dxa" w:w="120"/>
              <w:bottom w:type="dxa" w:w="100"/>
              <w:right w:type="dxa" w:w="120"/>
            </w:tcMar>
          </w:tcPr>
          <w:p>
            <w:pPr>
              <w:jc w:val="left"/>
            </w:pPr>
            <w:r>
              <w:rPr>
                <w:b w:val="false"/>
                <w:bCs w:val="false"/>
                <w:color w:val="000000"/>
                <w:sz w:val="19"/>
                <w:szCs w:val="19"/>
              </w:rPr>
              <w:t xml:space="preserve">#B0392B</w:t>
            </w:r>
          </w:p>
        </w:tc>
        <w:tc>
          <w:tcPr>
            <w:tcW w:type="dxa" w:w="2160"/>
            <w:tcMar>
              <w:top w:type="dxa" w:w="100"/>
              <w:left w:type="dxa" w:w="120"/>
              <w:bottom w:type="dxa" w:w="100"/>
              <w:right w:type="dxa" w:w="120"/>
            </w:tcMar>
          </w:tcPr>
          <w:p>
            <w:pPr>
              <w:jc w:val="left"/>
            </w:pPr>
            <w:r>
              <w:rPr>
                <w:b w:val="false"/>
                <w:bCs w:val="false"/>
                <w:color w:val="000000"/>
                <w:sz w:val="19"/>
                <w:szCs w:val="19"/>
              </w:rPr>
              <w:t xml:space="preserve">CTAs, highlights, stats</w:t>
            </w:r>
          </w:p>
        </w:tc>
      </w:tr>
      <w:tr>
        <w:tc>
          <w:tcPr>
            <w:tcW w:type="dxa" w:w="2400"/>
            <w:shd w:fill="F4F5F7" w:color="auto" w:val="clear"/>
            <w:tcMar>
              <w:top w:type="dxa" w:w="100"/>
              <w:left w:type="dxa" w:w="120"/>
              <w:bottom w:type="dxa" w:w="100"/>
              <w:right w:type="dxa" w:w="120"/>
            </w:tcMar>
          </w:tcPr>
          <w:p>
            <w:pPr>
              <w:jc w:val="left"/>
            </w:pPr>
            <w:r>
              <w:rPr>
                <w:b w:val="false"/>
                <w:bCs w:val="false"/>
                <w:color w:val="000000"/>
                <w:sz w:val="19"/>
                <w:szCs w:val="19"/>
              </w:rPr>
              <w:t xml:space="preserve">Background</w:t>
            </w:r>
          </w:p>
        </w:tc>
        <w:tc>
          <w:tcPr>
            <w:tcW w:type="dxa" w:w="2400"/>
            <w:shd w:fill="F4F5F7" w:color="auto" w:val="clear"/>
            <w:tcMar>
              <w:top w:type="dxa" w:w="100"/>
              <w:left w:type="dxa" w:w="120"/>
              <w:bottom w:type="dxa" w:w="100"/>
              <w:right w:type="dxa" w:w="120"/>
            </w:tcMar>
          </w:tcPr>
          <w:p>
            <w:pPr>
              <w:jc w:val="left"/>
            </w:pPr>
            <w:r>
              <w:rPr>
                <w:b w:val="false"/>
                <w:bCs w:val="false"/>
                <w:color w:val="000000"/>
                <w:sz w:val="19"/>
                <w:szCs w:val="19"/>
              </w:rPr>
              <w:t xml:space="preserve">Cool White</w:t>
            </w:r>
          </w:p>
        </w:tc>
        <w:tc>
          <w:tcPr>
            <w:tcW w:type="dxa" w:w="2400"/>
            <w:shd w:fill="F4F5F7" w:color="auto" w:val="clear"/>
            <w:tcMar>
              <w:top w:type="dxa" w:w="100"/>
              <w:left w:type="dxa" w:w="120"/>
              <w:bottom w:type="dxa" w:w="100"/>
              <w:right w:type="dxa" w:w="120"/>
            </w:tcMar>
          </w:tcPr>
          <w:p>
            <w:pPr>
              <w:jc w:val="left"/>
            </w:pPr>
            <w:r>
              <w:rPr>
                <w:b w:val="false"/>
                <w:bCs w:val="false"/>
                <w:color w:val="000000"/>
                <w:sz w:val="19"/>
                <w:szCs w:val="19"/>
              </w:rPr>
              <w:t xml:space="preserve">#F4F5F7</w:t>
            </w:r>
          </w:p>
        </w:tc>
        <w:tc>
          <w:tcPr>
            <w:tcW w:type="dxa" w:w="2160"/>
            <w:shd w:fill="F4F5F7" w:color="auto" w:val="clear"/>
            <w:tcMar>
              <w:top w:type="dxa" w:w="100"/>
              <w:left w:type="dxa" w:w="120"/>
              <w:bottom w:type="dxa" w:w="100"/>
              <w:right w:type="dxa" w:w="120"/>
            </w:tcMar>
          </w:tcPr>
          <w:p>
            <w:pPr>
              <w:jc w:val="left"/>
            </w:pPr>
            <w:r>
              <w:rPr>
                <w:b w:val="false"/>
                <w:bCs w:val="false"/>
                <w:color w:val="000000"/>
                <w:sz w:val="19"/>
                <w:szCs w:val="19"/>
              </w:rPr>
              <w:t xml:space="preserve">Section backgrounds</w:t>
            </w:r>
          </w:p>
        </w:tc>
      </w:tr>
    </w:tbl>
    <w:p>
      <w:pPr>
        <w:spacing w:after="160" w:line="276"/>
      </w:pPr>
      <w:r>
        <w:rPr>
          <w:sz w:val="21"/>
          <w:szCs w:val="21"/>
        </w:rPr>
        <w:t xml:space="preserve"/>
      </w:r>
    </w:p>
    <w:p>
      <w:pPr>
        <w:pStyle w:val="Heading2"/>
        <w:spacing w:after="160" w:before="360"/>
      </w:pPr>
      <w:r>
        <w:rPr>
          <w:b/>
          <w:bCs/>
          <w:color w:val="1E2761"/>
          <w:sz w:val="24"/>
          <w:szCs w:val="24"/>
        </w:rPr>
        <w:t xml:space="preserve">Typography</w:t>
      </w:r>
    </w:p>
    <w:p>
      <w:pPr>
        <w:pStyle w:val="ListParagraph"/>
        <w:numPr>
          <w:ilvl w:val="0"/>
          <w:numId w:val="2"/>
        </w:numPr>
        <w:spacing w:after="90" w:line="264"/>
      </w:pPr>
      <w:r>
        <w:rPr>
          <w:sz w:val="21"/>
          <w:szCs w:val="21"/>
        </w:rPr>
        <w:t xml:space="preserve">Headings: a bold, geometric sans (e.g. Inter, Manrope, or Söhne) — conveys engineering precision.</w:t>
      </w:r>
    </w:p>
    <w:p>
      <w:pPr>
        <w:pStyle w:val="ListParagraph"/>
        <w:numPr>
          <w:ilvl w:val="0"/>
          <w:numId w:val="2"/>
        </w:numPr>
        <w:spacing w:after="90" w:line="264"/>
      </w:pPr>
      <w:r>
        <w:rPr>
          <w:sz w:val="21"/>
          <w:szCs w:val="21"/>
        </w:rPr>
        <w:t xml:space="preserve">Body: a highly legible sans (e.g. Inter, Source Sans) at 16–18px minimum for technical spec readability.</w:t>
      </w:r>
    </w:p>
    <w:p>
      <w:pPr>
        <w:pStyle w:val="ListParagraph"/>
        <w:numPr>
          <w:ilvl w:val="0"/>
          <w:numId w:val="2"/>
        </w:numPr>
        <w:spacing w:after="90" w:line="264"/>
      </w:pPr>
      <w:r>
        <w:rPr>
          <w:sz w:val="21"/>
          <w:szCs w:val="21"/>
        </w:rPr>
        <w:t xml:space="preserve">Numerals/specs: tabular figures for size and tolerance tables so numbers align cleanly.</w:t>
      </w:r>
    </w:p>
    <w:p>
      <w:pPr>
        <w:pStyle w:val="Heading2"/>
        <w:spacing w:after="160" w:before="360"/>
      </w:pPr>
      <w:r>
        <w:rPr>
          <w:b/>
          <w:bCs/>
          <w:color w:val="1E2761"/>
          <w:sz w:val="24"/>
          <w:szCs w:val="24"/>
        </w:rPr>
        <w:t xml:space="preserve">Visual Motif</w:t>
      </w:r>
    </w:p>
    <w:p>
      <w:pPr>
        <w:spacing w:after="160" w:line="276"/>
      </w:pPr>
      <w:r>
        <w:rPr>
          <w:sz w:val="21"/>
          <w:szCs w:val="21"/>
        </w:rPr>
        <w:t xml:space="preserve">Repeat one motif throughout: real photographs of machined components and the shop floor (not stock industrial photography), presented in a consistent frame treatment, paired with large stat callouts (e.g. “1500 mm max diameter”, “47-person team”, “30+ years”, “12 export countries”). Avoid decorative accent stripes or generic gear/cog iconography — use precise technical line icons (calipers, micrometer, cross-section) instead.</w:t>
      </w:r>
    </w:p>
    <w:p>
      <w:pPr>
        <w:pStyle w:val="Heading1"/>
        <w:spacing w:after="240" w:before="480"/>
      </w:pPr>
      <w:r>
        <w:rPr>
          <w:b/>
          <w:bCs/>
          <w:color w:val="1E2761"/>
          <w:sz w:val="32"/>
          <w:szCs w:val="32"/>
        </w:rPr>
        <w:t xml:space="preserve">6.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shd w:fill="1E2761" w:color="auto" w:val="clear"/>
            <w:tcMar>
              <w:top w:type="dxa" w:w="100"/>
              <w:left w:type="dxa" w:w="120"/>
              <w:bottom w:type="dxa" w:w="100"/>
              <w:right w:type="dxa" w:w="120"/>
            </w:tcMar>
          </w:tcPr>
          <w:p>
            <w:pPr>
              <w:jc w:val="left"/>
            </w:pPr>
            <w:r>
              <w:rPr>
                <w:b/>
                <w:bCs/>
                <w:color w:val="FFFFFF"/>
                <w:sz w:val="19"/>
                <w:szCs w:val="19"/>
              </w:rPr>
              <w:t xml:space="preserve">Page</w:t>
            </w:r>
          </w:p>
        </w:tc>
        <w:tc>
          <w:tcPr>
            <w:tcW w:type="dxa" w:w="3400"/>
            <w:shd w:fill="1E2761" w:color="auto" w:val="clear"/>
            <w:tcMar>
              <w:top w:type="dxa" w:w="100"/>
              <w:left w:type="dxa" w:w="120"/>
              <w:bottom w:type="dxa" w:w="100"/>
              <w:right w:type="dxa" w:w="120"/>
            </w:tcMar>
          </w:tcPr>
          <w:p>
            <w:pPr>
              <w:jc w:val="left"/>
            </w:pPr>
            <w:r>
              <w:rPr>
                <w:b/>
                <w:bCs/>
                <w:color w:val="FFFFFF"/>
                <w:sz w:val="19"/>
                <w:szCs w:val="19"/>
              </w:rPr>
              <w:t xml:space="preserve">Purpose</w:t>
            </w:r>
          </w:p>
        </w:tc>
        <w:tc>
          <w:tcPr>
            <w:tcW w:type="dxa" w:w="3360"/>
            <w:shd w:fill="1E2761" w:color="auto" w:val="clear"/>
            <w:tcMar>
              <w:top w:type="dxa" w:w="100"/>
              <w:left w:type="dxa" w:w="120"/>
              <w:bottom w:type="dxa" w:w="100"/>
              <w:right w:type="dxa" w:w="120"/>
            </w:tcMar>
          </w:tcPr>
          <w:p>
            <w:pPr>
              <w:jc w:val="left"/>
            </w:pPr>
            <w:r>
              <w:rPr>
                <w:b/>
                <w:bCs/>
                <w:color w:val="FFFFFF"/>
                <w:sz w:val="19"/>
                <w:szCs w:val="19"/>
              </w:rPr>
              <w:t xml:space="preserve">Primary Content</w:t>
            </w:r>
          </w:p>
        </w:tc>
      </w:tr>
      <w:tr>
        <w:tc>
          <w:tcPr>
            <w:tcW w:type="dxa" w:w="2600"/>
            <w:shd w:fill="F4F5F7" w:color="auto" w:val="clear"/>
            <w:tcMar>
              <w:top w:type="dxa" w:w="100"/>
              <w:left w:type="dxa" w:w="120"/>
              <w:bottom w:type="dxa" w:w="100"/>
              <w:right w:type="dxa" w:w="120"/>
            </w:tcMar>
          </w:tcPr>
          <w:p>
            <w:pPr>
              <w:jc w:val="left"/>
            </w:pPr>
            <w:r>
              <w:rPr>
                <w:b/>
                <w:bCs/>
                <w:color w:val="000000"/>
                <w:sz w:val="19"/>
                <w:szCs w:val="19"/>
              </w:rPr>
              <w:t xml:space="preserve">Home</w:t>
            </w:r>
          </w:p>
        </w:tc>
        <w:tc>
          <w:tcPr>
            <w:tcW w:type="dxa" w:w="3400"/>
            <w:shd w:fill="F4F5F7" w:color="auto" w:val="clear"/>
            <w:tcMar>
              <w:top w:type="dxa" w:w="100"/>
              <w:left w:type="dxa" w:w="120"/>
              <w:bottom w:type="dxa" w:w="100"/>
              <w:right w:type="dxa" w:w="120"/>
            </w:tcMar>
          </w:tcPr>
          <w:p>
            <w:pPr>
              <w:jc w:val="left"/>
            </w:pPr>
            <w:r>
              <w:rPr>
                <w:b w:val="false"/>
                <w:bCs w:val="false"/>
                <w:color w:val="000000"/>
                <w:sz w:val="19"/>
                <w:szCs w:val="19"/>
              </w:rPr>
              <w:t xml:space="preserve">First impression + capability summary</w:t>
            </w:r>
          </w:p>
        </w:tc>
        <w:tc>
          <w:tcPr>
            <w:tcW w:type="dxa" w:w="3360"/>
            <w:shd w:fill="F4F5F7" w:color="auto" w:val="clear"/>
            <w:tcMar>
              <w:top w:type="dxa" w:w="100"/>
              <w:left w:type="dxa" w:w="120"/>
              <w:bottom w:type="dxa" w:w="100"/>
              <w:right w:type="dxa" w:w="120"/>
            </w:tcMar>
          </w:tcPr>
          <w:p>
            <w:pPr>
              <w:jc w:val="left"/>
            </w:pPr>
            <w:r>
              <w:rPr>
                <w:b w:val="false"/>
                <w:bCs w:val="false"/>
                <w:color w:val="000000"/>
                <w:sz w:val="19"/>
                <w:szCs w:val="19"/>
              </w:rPr>
              <w:t xml:space="preserve">Hero, key stats, product overview, client logos, CTA</w:t>
            </w:r>
          </w:p>
        </w:tc>
      </w:tr>
      <w:tr>
        <w:tc>
          <w:tcPr>
            <w:tcW w:type="dxa" w:w="2600"/>
            <w:shd w:fill="F4F5F7" w:color="auto" w:val="clear"/>
            <w:tcMar>
              <w:top w:type="dxa" w:w="100"/>
              <w:left w:type="dxa" w:w="120"/>
              <w:bottom w:type="dxa" w:w="100"/>
              <w:right w:type="dxa" w:w="120"/>
            </w:tcMar>
          </w:tcPr>
          <w:p>
            <w:pPr>
              <w:jc w:val="left"/>
            </w:pPr>
            <w:r>
              <w:rPr>
                <w:b/>
                <w:bCs/>
                <w:color w:val="000000"/>
                <w:sz w:val="19"/>
                <w:szCs w:val="19"/>
              </w:rPr>
              <w:t xml:space="preserve">About Us</w:t>
            </w:r>
          </w:p>
        </w:tc>
        <w:tc>
          <w:tcPr>
            <w:tcW w:type="dxa" w:w="3400"/>
            <w:shd w:fill="F4F5F7" w:color="auto" w:val="clear"/>
            <w:tcMar>
              <w:top w:type="dxa" w:w="100"/>
              <w:left w:type="dxa" w:w="120"/>
              <w:bottom w:type="dxa" w:w="100"/>
              <w:right w:type="dxa" w:w="120"/>
            </w:tcMar>
          </w:tcPr>
          <w:p>
            <w:pPr>
              <w:jc w:val="left"/>
            </w:pPr>
            <w:r>
              <w:rPr>
                <w:b w:val="false"/>
                <w:bCs w:val="false"/>
                <w:color w:val="000000"/>
                <w:sz w:val="19"/>
                <w:szCs w:val="19"/>
              </w:rPr>
              <w:t xml:space="preserve">Credibility &amp; history</w:t>
            </w:r>
          </w:p>
        </w:tc>
        <w:tc>
          <w:tcPr>
            <w:tcW w:type="dxa" w:w="3360"/>
            <w:shd w:fill="F4F5F7" w:color="auto" w:val="clear"/>
            <w:tcMar>
              <w:top w:type="dxa" w:w="100"/>
              <w:left w:type="dxa" w:w="120"/>
              <w:bottom w:type="dxa" w:w="100"/>
              <w:right w:type="dxa" w:w="120"/>
            </w:tcMar>
          </w:tcPr>
          <w:p>
            <w:pPr>
              <w:jc w:val="left"/>
            </w:pPr>
            <w:r>
              <w:rPr>
                <w:b w:val="false"/>
                <w:bCs w:val="false"/>
                <w:color w:val="000000"/>
                <w:sz w:val="19"/>
                <w:szCs w:val="19"/>
              </w:rPr>
              <w:t xml:space="preserve">Founding story (1994), leadership, certifications, facility</w:t>
            </w:r>
          </w:p>
        </w:tc>
      </w:tr>
      <w:tr>
        <w:tc>
          <w:tcPr>
            <w:tcW w:type="dxa" w:w="2600"/>
            <w:shd w:fill="F4F5F7" w:color="auto" w:val="clear"/>
            <w:tcMar>
              <w:top w:type="dxa" w:w="100"/>
              <w:left w:type="dxa" w:w="120"/>
              <w:bottom w:type="dxa" w:w="100"/>
              <w:right w:type="dxa" w:w="120"/>
            </w:tcMar>
          </w:tcPr>
          <w:p>
            <w:pPr>
              <w:jc w:val="left"/>
            </w:pPr>
            <w:r>
              <w:rPr>
                <w:b/>
                <w:bCs/>
                <w:color w:val="000000"/>
                <w:sz w:val="19"/>
                <w:szCs w:val="19"/>
              </w:rPr>
              <w:t xml:space="preserve">Products</w:t>
            </w:r>
          </w:p>
        </w:tc>
        <w:tc>
          <w:tcPr>
            <w:tcW w:type="dxa" w:w="3400"/>
            <w:shd w:fill="F4F5F7" w:color="auto" w:val="clear"/>
            <w:tcMar>
              <w:top w:type="dxa" w:w="100"/>
              <w:left w:type="dxa" w:w="120"/>
              <w:bottom w:type="dxa" w:w="100"/>
              <w:right w:type="dxa" w:w="120"/>
            </w:tcMar>
          </w:tcPr>
          <w:p>
            <w:pPr>
              <w:jc w:val="left"/>
            </w:pPr>
            <w:r>
              <w:rPr>
                <w:b w:val="false"/>
                <w:bCs w:val="false"/>
                <w:color w:val="000000"/>
                <w:sz w:val="19"/>
                <w:szCs w:val="19"/>
              </w:rPr>
              <w:t xml:space="preserve">Core buying decision content</w:t>
            </w:r>
          </w:p>
        </w:tc>
        <w:tc>
          <w:tcPr>
            <w:tcW w:type="dxa" w:w="3360"/>
            <w:shd w:fill="F4F5F7" w:color="auto" w:val="clear"/>
            <w:tcMar>
              <w:top w:type="dxa" w:w="100"/>
              <w:left w:type="dxa" w:w="120"/>
              <w:bottom w:type="dxa" w:w="100"/>
              <w:right w:type="dxa" w:w="120"/>
            </w:tcMar>
          </w:tcPr>
          <w:p>
            <w:pPr>
              <w:jc w:val="left"/>
            </w:pPr>
            <w:r>
              <w:rPr>
                <w:b w:val="false"/>
                <w:bCs w:val="false"/>
                <w:color w:val="000000"/>
                <w:sz w:val="19"/>
                <w:szCs w:val="19"/>
              </w:rPr>
              <w:t xml:space="preserve">Shaft/Sleeve/Coupling/Pump Parts specs by material &amp; size</w:t>
            </w:r>
          </w:p>
        </w:tc>
      </w:tr>
      <w:tr>
        <w:tc>
          <w:tcPr>
            <w:tcW w:type="dxa" w:w="2600"/>
            <w:shd w:fill="F4F5F7" w:color="auto" w:val="clear"/>
            <w:tcMar>
              <w:top w:type="dxa" w:w="100"/>
              <w:left w:type="dxa" w:w="120"/>
              <w:bottom w:type="dxa" w:w="100"/>
              <w:right w:type="dxa" w:w="120"/>
            </w:tcMar>
          </w:tcPr>
          <w:p>
            <w:pPr>
              <w:jc w:val="left"/>
            </w:pPr>
            <w:r>
              <w:rPr>
                <w:b/>
                <w:bCs/>
                <w:color w:val="000000"/>
                <w:sz w:val="19"/>
                <w:szCs w:val="19"/>
              </w:rPr>
              <w:t xml:space="preserve">Capabilities</w:t>
            </w:r>
          </w:p>
        </w:tc>
        <w:tc>
          <w:tcPr>
            <w:tcW w:type="dxa" w:w="3400"/>
            <w:shd w:fill="F4F5F7" w:color="auto" w:val="clear"/>
            <w:tcMar>
              <w:top w:type="dxa" w:w="100"/>
              <w:left w:type="dxa" w:w="120"/>
              <w:bottom w:type="dxa" w:w="100"/>
              <w:right w:type="dxa" w:w="120"/>
            </w:tcMar>
          </w:tcPr>
          <w:p>
            <w:pPr>
              <w:jc w:val="left"/>
            </w:pPr>
            <w:r>
              <w:rPr>
                <w:b w:val="false"/>
                <w:bCs w:val="false"/>
                <w:color w:val="000000"/>
                <w:sz w:val="19"/>
                <w:szCs w:val="19"/>
              </w:rPr>
              <w:t xml:space="preserve">Technical proof</w:t>
            </w:r>
          </w:p>
        </w:tc>
        <w:tc>
          <w:tcPr>
            <w:tcW w:type="dxa" w:w="3360"/>
            <w:shd w:fill="F4F5F7" w:color="auto" w:val="clear"/>
            <w:tcMar>
              <w:top w:type="dxa" w:w="100"/>
              <w:left w:type="dxa" w:w="120"/>
              <w:bottom w:type="dxa" w:w="100"/>
              <w:right w:type="dxa" w:w="120"/>
            </w:tcMar>
          </w:tcPr>
          <w:p>
            <w:pPr>
              <w:jc w:val="left"/>
            </w:pPr>
            <w:r>
              <w:rPr>
                <w:b w:val="false"/>
                <w:bCs w:val="false"/>
                <w:color w:val="000000"/>
                <w:sz w:val="19"/>
                <w:szCs w:val="19"/>
              </w:rPr>
              <w:t xml:space="preserve">Machining/grinding capacity, CNC equipment, gear manufacturing</w:t>
            </w:r>
          </w:p>
        </w:tc>
      </w:tr>
      <w:tr>
        <w:tc>
          <w:tcPr>
            <w:tcW w:type="dxa" w:w="2600"/>
            <w:shd w:fill="F4F5F7" w:color="auto" w:val="clear"/>
            <w:tcMar>
              <w:top w:type="dxa" w:w="100"/>
              <w:left w:type="dxa" w:w="120"/>
              <w:bottom w:type="dxa" w:w="100"/>
              <w:right w:type="dxa" w:w="120"/>
            </w:tcMar>
          </w:tcPr>
          <w:p>
            <w:pPr>
              <w:jc w:val="left"/>
            </w:pPr>
            <w:r>
              <w:rPr>
                <w:b/>
                <w:bCs/>
                <w:color w:val="000000"/>
                <w:sz w:val="19"/>
                <w:szCs w:val="19"/>
              </w:rPr>
              <w:t xml:space="preserve">Quality &amp; Testing</w:t>
            </w:r>
          </w:p>
        </w:tc>
        <w:tc>
          <w:tcPr>
            <w:tcW w:type="dxa" w:w="3400"/>
            <w:shd w:fill="F4F5F7" w:color="auto" w:val="clear"/>
            <w:tcMar>
              <w:top w:type="dxa" w:w="100"/>
              <w:left w:type="dxa" w:w="120"/>
              <w:bottom w:type="dxa" w:w="100"/>
              <w:right w:type="dxa" w:w="120"/>
            </w:tcMar>
          </w:tcPr>
          <w:p>
            <w:pPr>
              <w:jc w:val="left"/>
            </w:pPr>
            <w:r>
              <w:rPr>
                <w:b w:val="false"/>
                <w:bCs w:val="false"/>
                <w:color w:val="000000"/>
                <w:sz w:val="19"/>
                <w:szCs w:val="19"/>
              </w:rPr>
              <w:t xml:space="preserve">Risk reduction for buyer</w:t>
            </w:r>
          </w:p>
        </w:tc>
        <w:tc>
          <w:tcPr>
            <w:tcW w:type="dxa" w:w="3360"/>
            <w:shd w:fill="F4F5F7" w:color="auto" w:val="clear"/>
            <w:tcMar>
              <w:top w:type="dxa" w:w="100"/>
              <w:left w:type="dxa" w:w="120"/>
              <w:bottom w:type="dxa" w:w="100"/>
              <w:right w:type="dxa" w:w="120"/>
            </w:tcMar>
          </w:tcPr>
          <w:p>
            <w:pPr>
              <w:jc w:val="left"/>
            </w:pPr>
            <w:r>
              <w:rPr>
                <w:b w:val="false"/>
                <w:bCs w:val="false"/>
                <w:color w:val="000000"/>
                <w:sz w:val="19"/>
                <w:szCs w:val="19"/>
              </w:rPr>
              <w:t xml:space="preserve">In-house/outsourced tests, ISO 9001:2015, instruments</w:t>
            </w:r>
          </w:p>
        </w:tc>
      </w:tr>
      <w:tr>
        <w:tc>
          <w:tcPr>
            <w:tcW w:type="dxa" w:w="2600"/>
            <w:shd w:fill="F4F5F7" w:color="auto" w:val="clear"/>
            <w:tcMar>
              <w:top w:type="dxa" w:w="100"/>
              <w:left w:type="dxa" w:w="120"/>
              <w:bottom w:type="dxa" w:w="100"/>
              <w:right w:type="dxa" w:w="120"/>
            </w:tcMar>
          </w:tcPr>
          <w:p>
            <w:pPr>
              <w:jc w:val="left"/>
            </w:pPr>
            <w:r>
              <w:rPr>
                <w:b/>
                <w:bCs/>
                <w:color w:val="000000"/>
                <w:sz w:val="19"/>
                <w:szCs w:val="19"/>
              </w:rPr>
              <w:t xml:space="preserve">Global Clients</w:t>
            </w:r>
          </w:p>
        </w:tc>
        <w:tc>
          <w:tcPr>
            <w:tcW w:type="dxa" w:w="3400"/>
            <w:shd w:fill="F4F5F7" w:color="auto" w:val="clear"/>
            <w:tcMar>
              <w:top w:type="dxa" w:w="100"/>
              <w:left w:type="dxa" w:w="120"/>
              <w:bottom w:type="dxa" w:w="100"/>
              <w:right w:type="dxa" w:w="120"/>
            </w:tcMar>
          </w:tcPr>
          <w:p>
            <w:pPr>
              <w:jc w:val="left"/>
            </w:pPr>
            <w:r>
              <w:rPr>
                <w:b w:val="false"/>
                <w:bCs w:val="false"/>
                <w:color w:val="000000"/>
                <w:sz w:val="19"/>
                <w:szCs w:val="19"/>
              </w:rPr>
              <w:t xml:space="preserve">Trust via association</w:t>
            </w:r>
          </w:p>
        </w:tc>
        <w:tc>
          <w:tcPr>
            <w:tcW w:type="dxa" w:w="3360"/>
            <w:shd w:fill="F4F5F7" w:color="auto" w:val="clear"/>
            <w:tcMar>
              <w:top w:type="dxa" w:w="100"/>
              <w:left w:type="dxa" w:w="120"/>
              <w:bottom w:type="dxa" w:w="100"/>
              <w:right w:type="dxa" w:w="120"/>
            </w:tcMar>
          </w:tcPr>
          <w:p>
            <w:pPr>
              <w:jc w:val="left"/>
            </w:pPr>
            <w:r>
              <w:rPr>
                <w:b w:val="false"/>
                <w:bCs w:val="false"/>
                <w:color w:val="000000"/>
                <w:sz w:val="19"/>
                <w:szCs w:val="19"/>
              </w:rPr>
              <w:t xml:space="preserve">Flowserve, EBARA, TMEIC, Valmet, DMW; export map</w:t>
            </w:r>
          </w:p>
        </w:tc>
      </w:tr>
      <w:tr>
        <w:tc>
          <w:tcPr>
            <w:tcW w:type="dxa" w:w="2600"/>
            <w:shd w:fill="F4F5F7" w:color="auto" w:val="clear"/>
            <w:tcMar>
              <w:top w:type="dxa" w:w="100"/>
              <w:left w:type="dxa" w:w="120"/>
              <w:bottom w:type="dxa" w:w="100"/>
              <w:right w:type="dxa" w:w="120"/>
            </w:tcMar>
          </w:tcPr>
          <w:p>
            <w:pPr>
              <w:jc w:val="left"/>
            </w:pPr>
            <w:r>
              <w:rPr>
                <w:b/>
                <w:bCs/>
                <w:color w:val="000000"/>
                <w:sz w:val="19"/>
                <w:szCs w:val="19"/>
              </w:rPr>
              <w:t xml:space="preserve">Gallery</w:t>
            </w:r>
          </w:p>
        </w:tc>
        <w:tc>
          <w:tcPr>
            <w:tcW w:type="dxa" w:w="3400"/>
            <w:shd w:fill="F4F5F7" w:color="auto" w:val="clear"/>
            <w:tcMar>
              <w:top w:type="dxa" w:w="100"/>
              <w:left w:type="dxa" w:w="120"/>
              <w:bottom w:type="dxa" w:w="100"/>
              <w:right w:type="dxa" w:w="120"/>
            </w:tcMar>
          </w:tcPr>
          <w:p>
            <w:pPr>
              <w:jc w:val="left"/>
            </w:pPr>
            <w:r>
              <w:rPr>
                <w:b w:val="false"/>
                <w:bCs w:val="false"/>
                <w:color w:val="000000"/>
                <w:sz w:val="19"/>
                <w:szCs w:val="19"/>
              </w:rPr>
              <w:t xml:space="preserve">Visual verification</w:t>
            </w:r>
          </w:p>
        </w:tc>
        <w:tc>
          <w:tcPr>
            <w:tcW w:type="dxa" w:w="3360"/>
            <w:shd w:fill="F4F5F7" w:color="auto" w:val="clear"/>
            <w:tcMar>
              <w:top w:type="dxa" w:w="100"/>
              <w:left w:type="dxa" w:w="120"/>
              <w:bottom w:type="dxa" w:w="100"/>
              <w:right w:type="dxa" w:w="120"/>
            </w:tcMar>
          </w:tcPr>
          <w:p>
            <w:pPr>
              <w:jc w:val="left"/>
            </w:pPr>
            <w:r>
              <w:rPr>
                <w:b w:val="false"/>
                <w:bCs w:val="false"/>
                <w:color w:val="000000"/>
                <w:sz w:val="19"/>
                <w:szCs w:val="19"/>
              </w:rPr>
              <w:t xml:space="preserve">Shop floor, finished components, assemblies</w:t>
            </w:r>
          </w:p>
        </w:tc>
      </w:tr>
      <w:tr>
        <w:tc>
          <w:tcPr>
            <w:tcW w:type="dxa" w:w="2600"/>
            <w:shd w:fill="F4F5F7" w:color="auto" w:val="clear"/>
            <w:tcMar>
              <w:top w:type="dxa" w:w="100"/>
              <w:left w:type="dxa" w:w="120"/>
              <w:bottom w:type="dxa" w:w="100"/>
              <w:right w:type="dxa" w:w="120"/>
            </w:tcMar>
          </w:tcPr>
          <w:p>
            <w:pPr>
              <w:jc w:val="left"/>
            </w:pPr>
            <w:r>
              <w:rPr>
                <w:b/>
                <w:bCs/>
                <w:color w:val="000000"/>
                <w:sz w:val="19"/>
                <w:szCs w:val="19"/>
              </w:rPr>
              <w:t xml:space="preserve">Contact / RFQ</w:t>
            </w:r>
          </w:p>
        </w:tc>
        <w:tc>
          <w:tcPr>
            <w:tcW w:type="dxa" w:w="3400"/>
            <w:shd w:fill="F4F5F7" w:color="auto" w:val="clear"/>
            <w:tcMar>
              <w:top w:type="dxa" w:w="100"/>
              <w:left w:type="dxa" w:w="120"/>
              <w:bottom w:type="dxa" w:w="100"/>
              <w:right w:type="dxa" w:w="120"/>
            </w:tcMar>
          </w:tcPr>
          <w:p>
            <w:pPr>
              <w:jc w:val="left"/>
            </w:pPr>
            <w:r>
              <w:rPr>
                <w:b w:val="false"/>
                <w:bCs w:val="false"/>
                <w:color w:val="000000"/>
                <w:sz w:val="19"/>
                <w:szCs w:val="19"/>
              </w:rPr>
              <w:t xml:space="preserve">Conversion</w:t>
            </w:r>
          </w:p>
        </w:tc>
        <w:tc>
          <w:tcPr>
            <w:tcW w:type="dxa" w:w="3360"/>
            <w:shd w:fill="F4F5F7" w:color="auto" w:val="clear"/>
            <w:tcMar>
              <w:top w:type="dxa" w:w="100"/>
              <w:left w:type="dxa" w:w="120"/>
              <w:bottom w:type="dxa" w:w="100"/>
              <w:right w:type="dxa" w:w="120"/>
            </w:tcMar>
          </w:tcPr>
          <w:p>
            <w:pPr>
              <w:jc w:val="left"/>
            </w:pPr>
            <w:r>
              <w:rPr>
                <w:b w:val="false"/>
                <w:bCs w:val="false"/>
                <w:color w:val="000000"/>
                <w:sz w:val="19"/>
                <w:szCs w:val="19"/>
              </w:rPr>
              <w:t xml:space="preserve">Structured RFQ form, address, direct phone/email, map</w:t>
            </w:r>
          </w:p>
        </w:tc>
      </w:tr>
    </w:tbl>
    <w:p>
      <w:pPr>
        <w:spacing w:after="160" w:line="276"/>
      </w:pPr>
      <w:r>
        <w:rPr>
          <w:sz w:val="21"/>
          <w:szCs w:val="21"/>
        </w:rPr>
        <w:t xml:space="preserve"/>
      </w:r>
    </w:p>
    <w:p>
      <w:pPr>
        <w:spacing w:after="160" w:line="276"/>
      </w:pPr>
      <w:r>
        <w:rPr>
          <w:sz w:val="21"/>
          <w:szCs w:val="21"/>
        </w:rPr>
        <w:t xml:space="preserve">Global navigation: Home / About / Products / Capabilities / Quality / Clients / Gallery / Contact. Persistent header CTA: “Request a Quote.” Footer repeats contact details, certification badge, and export country list.</w:t>
      </w:r>
    </w:p>
    <w:p>
      <w:r>
        <w:br w:type="page"/>
      </w:r>
    </w:p>
    <w:p>
      <w:pPr>
        <w:pStyle w:val="Heading1"/>
        <w:spacing w:after="240" w:before="480"/>
      </w:pPr>
      <w:r>
        <w:rPr>
          <w:b/>
          <w:bCs/>
          <w:color w:val="1E2761"/>
          <w:sz w:val="32"/>
          <w:szCs w:val="32"/>
        </w:rPr>
        <w:t xml:space="preserve">7. Page-by-Page Specifications</w:t>
      </w:r>
    </w:p>
    <w:p>
      <w:pPr>
        <w:pStyle w:val="Heading2"/>
        <w:spacing w:after="160" w:before="360"/>
      </w:pPr>
      <w:r>
        <w:rPr>
          <w:b/>
          <w:bCs/>
          <w:color w:val="1E2761"/>
          <w:sz w:val="24"/>
          <w:szCs w:val="24"/>
        </w:rPr>
        <w:t xml:space="preserve">7.1 Home</w:t>
      </w:r>
    </w:p>
    <w:p>
      <w:pPr>
        <w:pStyle w:val="ListParagraph"/>
        <w:numPr>
          <w:ilvl w:val="0"/>
          <w:numId w:val="2"/>
        </w:numPr>
        <w:spacing w:after="90" w:line="264"/>
      </w:pPr>
      <w:r>
        <w:rPr>
          <w:sz w:val="21"/>
          <w:szCs w:val="21"/>
        </w:rPr>
        <w:t xml:space="preserve">Hero: full-width real photo (shop floor or a large finished shaft), headline stating positioning line, sub-line with founding year + ISO cert, primary CTA “Request a Quote” and secondary “View Products.”</w:t>
      </w:r>
    </w:p>
    <w:p>
      <w:pPr>
        <w:pStyle w:val="ListParagraph"/>
        <w:numPr>
          <w:ilvl w:val="0"/>
          <w:numId w:val="2"/>
        </w:numPr>
        <w:spacing w:after="90" w:line="264"/>
      </w:pPr>
      <w:r>
        <w:rPr>
          <w:sz w:val="21"/>
          <w:szCs w:val="21"/>
        </w:rPr>
        <w:t xml:space="preserve">Stat band: 30+ years, 1500 mm max diameter, 47-person team, 12 export countries — large numerals, small labels.</w:t>
      </w:r>
    </w:p>
    <w:p>
      <w:pPr>
        <w:pStyle w:val="ListParagraph"/>
        <w:numPr>
          <w:ilvl w:val="0"/>
          <w:numId w:val="2"/>
        </w:numPr>
        <w:spacing w:after="90" w:line="264"/>
      </w:pPr>
      <w:r>
        <w:rPr>
          <w:sz w:val="21"/>
          <w:szCs w:val="21"/>
        </w:rPr>
        <w:t xml:space="preserve">Product overview: four cards — Shafts, Sleeves, Couplings, Pump Parts &amp; Accessories — each linking to its Products anchor.</w:t>
      </w:r>
    </w:p>
    <w:p>
      <w:pPr>
        <w:pStyle w:val="ListParagraph"/>
        <w:numPr>
          <w:ilvl w:val="0"/>
          <w:numId w:val="2"/>
        </w:numPr>
        <w:spacing w:after="90" w:line="264"/>
      </w:pPr>
      <w:r>
        <w:rPr>
          <w:sz w:val="21"/>
          <w:szCs w:val="21"/>
        </w:rPr>
        <w:t xml:space="preserve">Client strip: logos (with permission) for Flowserve, EBARA, TMEIC, Valmet, DMW.</w:t>
      </w:r>
    </w:p>
    <w:p>
      <w:pPr>
        <w:pStyle w:val="ListParagraph"/>
        <w:numPr>
          <w:ilvl w:val="0"/>
          <w:numId w:val="2"/>
        </w:numPr>
        <w:spacing w:after="90" w:line="264"/>
      </w:pPr>
      <w:r>
        <w:rPr>
          <w:sz w:val="21"/>
          <w:szCs w:val="21"/>
        </w:rPr>
        <w:t xml:space="preserve">World map or country list showing the 12 export markets.</w:t>
      </w:r>
    </w:p>
    <w:p>
      <w:pPr>
        <w:pStyle w:val="ListParagraph"/>
        <w:numPr>
          <w:ilvl w:val="0"/>
          <w:numId w:val="2"/>
        </w:numPr>
        <w:spacing w:after="90" w:line="264"/>
      </w:pPr>
      <w:r>
        <w:rPr>
          <w:sz w:val="21"/>
          <w:szCs w:val="21"/>
        </w:rPr>
        <w:t xml:space="preserve">Closing CTA band before footer.</w:t>
      </w:r>
    </w:p>
    <w:p>
      <w:pPr>
        <w:pStyle w:val="Heading2"/>
        <w:spacing w:after="160" w:before="360"/>
      </w:pPr>
      <w:r>
        <w:rPr>
          <w:b/>
          <w:bCs/>
          <w:color w:val="1E2761"/>
          <w:sz w:val="24"/>
          <w:szCs w:val="24"/>
        </w:rPr>
        <w:t xml:space="preserve">7.2 About Us</w:t>
      </w:r>
    </w:p>
    <w:p>
      <w:pPr>
        <w:pStyle w:val="ListParagraph"/>
        <w:numPr>
          <w:ilvl w:val="0"/>
          <w:numId w:val="2"/>
        </w:numPr>
        <w:spacing w:after="90" w:line="264"/>
      </w:pPr>
      <w:r>
        <w:rPr>
          <w:sz w:val="21"/>
          <w:szCs w:val="21"/>
        </w:rPr>
        <w:t xml:space="preserve">Accurate founding narrative: established 1994, ISO 9001:2015 certified, leadership by Mr. Sudarshan Khot (CEO) and Mr. Suhas Khot (MD).</w:t>
      </w:r>
    </w:p>
    <w:p>
      <w:pPr>
        <w:pStyle w:val="ListParagraph"/>
        <w:numPr>
          <w:ilvl w:val="0"/>
          <w:numId w:val="2"/>
        </w:numPr>
        <w:spacing w:after="90" w:line="264"/>
      </w:pPr>
      <w:r>
        <w:rPr>
          <w:sz w:val="21"/>
          <w:szCs w:val="21"/>
        </w:rPr>
        <w:t xml:space="preserve">Organisational structure summary (engineering, QC, production, programming) reflecting the real 47-person team composition.</w:t>
      </w:r>
    </w:p>
    <w:p>
      <w:pPr>
        <w:pStyle w:val="ListParagraph"/>
        <w:numPr>
          <w:ilvl w:val="0"/>
          <w:numId w:val="2"/>
        </w:numPr>
        <w:spacing w:after="90" w:line="264"/>
      </w:pPr>
      <w:r>
        <w:rPr>
          <w:sz w:val="21"/>
          <w:szCs w:val="21"/>
        </w:rPr>
        <w:t xml:space="preserve">Facility description — Burli, Tal. Palus, Sangli — with real facility photography, not stock imagery.</w:t>
      </w:r>
    </w:p>
    <w:p>
      <w:pPr>
        <w:pStyle w:val="Heading2"/>
        <w:spacing w:after="160" w:before="360"/>
      </w:pPr>
      <w:r>
        <w:rPr>
          <w:b/>
          <w:bCs/>
          <w:color w:val="1E2761"/>
          <w:sz w:val="24"/>
          <w:szCs w:val="24"/>
        </w:rPr>
        <w:t xml:space="preserve">7.3 Products</w:t>
      </w:r>
    </w:p>
    <w:p>
      <w:pPr>
        <w:spacing w:after="160" w:line="276"/>
      </w:pPr>
      <w:r>
        <w:rPr>
          <w:sz w:val="21"/>
          <w:szCs w:val="21"/>
        </w:rPr>
        <w:t xml:space="preserve">Structured by product family, each with a specification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shd w:fill="1E2761" w:color="auto" w:val="clear"/>
            <w:tcMar>
              <w:top w:type="dxa" w:w="100"/>
              <w:left w:type="dxa" w:w="120"/>
              <w:bottom w:type="dxa" w:w="100"/>
              <w:right w:type="dxa" w:w="120"/>
            </w:tcMar>
          </w:tcPr>
          <w:p>
            <w:pPr>
              <w:jc w:val="left"/>
            </w:pPr>
            <w:r>
              <w:rPr>
                <w:b/>
                <w:bCs/>
                <w:color w:val="FFFFFF"/>
                <w:sz w:val="19"/>
                <w:szCs w:val="19"/>
              </w:rPr>
              <w:t xml:space="preserve">Product</w:t>
            </w:r>
          </w:p>
        </w:tc>
        <w:tc>
          <w:tcPr>
            <w:tcW w:type="dxa" w:w="3700"/>
            <w:shd w:fill="1E2761" w:color="auto" w:val="clear"/>
            <w:tcMar>
              <w:top w:type="dxa" w:w="100"/>
              <w:left w:type="dxa" w:w="120"/>
              <w:bottom w:type="dxa" w:w="100"/>
              <w:right w:type="dxa" w:w="120"/>
            </w:tcMar>
          </w:tcPr>
          <w:p>
            <w:pPr>
              <w:jc w:val="left"/>
            </w:pPr>
            <w:r>
              <w:rPr>
                <w:b/>
                <w:bCs/>
                <w:color w:val="FFFFFF"/>
                <w:sz w:val="19"/>
                <w:szCs w:val="19"/>
              </w:rPr>
              <w:t xml:space="preserve">Material</w:t>
            </w:r>
          </w:p>
        </w:tc>
        <w:tc>
          <w:tcPr>
            <w:tcW w:type="dxa" w:w="3660"/>
            <w:shd w:fill="1E2761" w:color="auto" w:val="clear"/>
            <w:tcMar>
              <w:top w:type="dxa" w:w="100"/>
              <w:left w:type="dxa" w:w="120"/>
              <w:bottom w:type="dxa" w:w="100"/>
              <w:right w:type="dxa" w:w="120"/>
            </w:tcMar>
          </w:tcPr>
          <w:p>
            <w:pPr>
              <w:jc w:val="left"/>
            </w:pPr>
            <w:r>
              <w:rPr>
                <w:b/>
                <w:bCs/>
                <w:color w:val="FFFFFF"/>
                <w:sz w:val="19"/>
                <w:szCs w:val="19"/>
              </w:rPr>
              <w:t xml:space="preserve">Size Range</w:t>
            </w:r>
          </w:p>
        </w:tc>
      </w:tr>
      <w:tr>
        <w:tc>
          <w:tcPr>
            <w:tcW w:type="dxa" w:w="2000"/>
            <w:shd w:fill="F4F5F7" w:color="auto" w:val="clear"/>
            <w:tcMar>
              <w:top w:type="dxa" w:w="100"/>
              <w:left w:type="dxa" w:w="120"/>
              <w:bottom w:type="dxa" w:w="100"/>
              <w:right w:type="dxa" w:w="120"/>
            </w:tcMar>
          </w:tcPr>
          <w:p>
            <w:pPr>
              <w:jc w:val="left"/>
            </w:pPr>
            <w:r>
              <w:rPr>
                <w:b/>
                <w:bCs/>
                <w:color w:val="000000"/>
                <w:sz w:val="19"/>
                <w:szCs w:val="19"/>
              </w:rPr>
              <w:t xml:space="preserve">Shaft</w:t>
            </w:r>
          </w:p>
        </w:tc>
        <w:tc>
          <w:tcPr>
            <w:tcW w:type="dxa" w:w="3700"/>
            <w:shd w:fill="F4F5F7" w:color="auto" w:val="clear"/>
            <w:tcMar>
              <w:top w:type="dxa" w:w="100"/>
              <w:left w:type="dxa" w:w="120"/>
              <w:bottom w:type="dxa" w:w="100"/>
              <w:right w:type="dxa" w:w="120"/>
            </w:tcMar>
          </w:tcPr>
          <w:p>
            <w:pPr>
              <w:jc w:val="left"/>
            </w:pPr>
            <w:r>
              <w:rPr>
                <w:b w:val="false"/>
                <w:bCs w:val="false"/>
                <w:color w:val="000000"/>
                <w:sz w:val="19"/>
                <w:szCs w:val="19"/>
              </w:rPr>
              <w:t xml:space="preserve">Stainless steel, Duplex, Super Duplex, Nitronic 50</w:t>
            </w:r>
          </w:p>
        </w:tc>
        <w:tc>
          <w:tcPr>
            <w:tcW w:type="dxa" w:w="3660"/>
            <w:shd w:fill="F4F5F7" w:color="auto" w:val="clear"/>
            <w:tcMar>
              <w:top w:type="dxa" w:w="100"/>
              <w:left w:type="dxa" w:w="120"/>
              <w:bottom w:type="dxa" w:w="100"/>
              <w:right w:type="dxa" w:w="120"/>
            </w:tcMar>
          </w:tcPr>
          <w:p>
            <w:pPr>
              <w:jc w:val="left"/>
            </w:pPr>
            <w:r>
              <w:rPr>
                <w:b w:val="false"/>
                <w:bCs w:val="false"/>
                <w:color w:val="000000"/>
                <w:sz w:val="19"/>
                <w:szCs w:val="19"/>
              </w:rPr>
              <w:t xml:space="preserve">Dia. 50–1500 mm; length 0.5–14 m; finish 10–50 microns</w:t>
            </w:r>
          </w:p>
        </w:tc>
      </w:tr>
      <w:tr>
        <w:tc>
          <w:tcPr>
            <w:tcW w:type="dxa" w:w="2000"/>
            <w:shd w:fill="F4F5F7" w:color="auto" w:val="clear"/>
            <w:tcMar>
              <w:top w:type="dxa" w:w="100"/>
              <w:left w:type="dxa" w:w="120"/>
              <w:bottom w:type="dxa" w:w="100"/>
              <w:right w:type="dxa" w:w="120"/>
            </w:tcMar>
          </w:tcPr>
          <w:p>
            <w:pPr>
              <w:jc w:val="left"/>
            </w:pPr>
            <w:r>
              <w:rPr>
                <w:b/>
                <w:bCs/>
                <w:color w:val="000000"/>
                <w:sz w:val="19"/>
                <w:szCs w:val="19"/>
              </w:rPr>
              <w:t xml:space="preserve">Sleeve</w:t>
            </w:r>
          </w:p>
        </w:tc>
        <w:tc>
          <w:tcPr>
            <w:tcW w:type="dxa" w:w="3700"/>
            <w:shd w:fill="F4F5F7" w:color="auto" w:val="clear"/>
            <w:tcMar>
              <w:top w:type="dxa" w:w="100"/>
              <w:left w:type="dxa" w:w="120"/>
              <w:bottom w:type="dxa" w:w="100"/>
              <w:right w:type="dxa" w:w="120"/>
            </w:tcMar>
          </w:tcPr>
          <w:p>
            <w:pPr>
              <w:jc w:val="left"/>
            </w:pPr>
            <w:r>
              <w:rPr>
                <w:b w:val="false"/>
                <w:bCs w:val="false"/>
                <w:color w:val="000000"/>
                <w:sz w:val="19"/>
                <w:szCs w:val="19"/>
              </w:rPr>
              <w:t xml:space="preserve">Stainless steel, Duplex, Super Duplex, Nitronic 50</w:t>
            </w:r>
          </w:p>
        </w:tc>
        <w:tc>
          <w:tcPr>
            <w:tcW w:type="dxa" w:w="3660"/>
            <w:shd w:fill="F4F5F7" w:color="auto" w:val="clear"/>
            <w:tcMar>
              <w:top w:type="dxa" w:w="100"/>
              <w:left w:type="dxa" w:w="120"/>
              <w:bottom w:type="dxa" w:w="100"/>
              <w:right w:type="dxa" w:w="120"/>
            </w:tcMar>
          </w:tcPr>
          <w:p>
            <w:pPr>
              <w:jc w:val="left"/>
            </w:pPr>
            <w:r>
              <w:rPr>
                <w:b w:val="false"/>
                <w:bCs w:val="false"/>
                <w:color w:val="000000"/>
                <w:sz w:val="19"/>
                <w:szCs w:val="19"/>
              </w:rPr>
              <w:t xml:space="preserve">Dia. 50–400 mm; length 0.1–1 m; finish 10–50 microns</w:t>
            </w:r>
          </w:p>
        </w:tc>
      </w:tr>
      <w:tr>
        <w:tc>
          <w:tcPr>
            <w:tcW w:type="dxa" w:w="2000"/>
            <w:shd w:fill="F4F5F7" w:color="auto" w:val="clear"/>
            <w:tcMar>
              <w:top w:type="dxa" w:w="100"/>
              <w:left w:type="dxa" w:w="120"/>
              <w:bottom w:type="dxa" w:w="100"/>
              <w:right w:type="dxa" w:w="120"/>
            </w:tcMar>
          </w:tcPr>
          <w:p>
            <w:pPr>
              <w:jc w:val="left"/>
            </w:pPr>
            <w:r>
              <w:rPr>
                <w:b/>
                <w:bCs/>
                <w:color w:val="000000"/>
                <w:sz w:val="19"/>
                <w:szCs w:val="19"/>
              </w:rPr>
              <w:t xml:space="preserve">Coupling</w:t>
            </w:r>
          </w:p>
        </w:tc>
        <w:tc>
          <w:tcPr>
            <w:tcW w:type="dxa" w:w="3700"/>
            <w:shd w:fill="F4F5F7" w:color="auto" w:val="clear"/>
            <w:tcMar>
              <w:top w:type="dxa" w:w="100"/>
              <w:left w:type="dxa" w:w="120"/>
              <w:bottom w:type="dxa" w:w="100"/>
              <w:right w:type="dxa" w:w="120"/>
            </w:tcMar>
          </w:tcPr>
          <w:p>
            <w:pPr>
              <w:jc w:val="left"/>
            </w:pPr>
            <w:r>
              <w:rPr>
                <w:b w:val="false"/>
                <w:bCs w:val="false"/>
                <w:color w:val="000000"/>
                <w:sz w:val="19"/>
                <w:szCs w:val="19"/>
              </w:rPr>
              <w:t xml:space="preserve">Stainless steel, Duplex, Super Duplex, Nitronic 50</w:t>
            </w:r>
          </w:p>
        </w:tc>
        <w:tc>
          <w:tcPr>
            <w:tcW w:type="dxa" w:w="3660"/>
            <w:shd w:fill="F4F5F7" w:color="auto" w:val="clear"/>
            <w:tcMar>
              <w:top w:type="dxa" w:w="100"/>
              <w:left w:type="dxa" w:w="120"/>
              <w:bottom w:type="dxa" w:w="100"/>
              <w:right w:type="dxa" w:w="120"/>
            </w:tcMar>
          </w:tcPr>
          <w:p>
            <w:pPr>
              <w:jc w:val="left"/>
            </w:pPr>
            <w:r>
              <w:rPr>
                <w:b w:val="false"/>
                <w:bCs w:val="false"/>
                <w:color w:val="000000"/>
                <w:sz w:val="19"/>
                <w:szCs w:val="19"/>
              </w:rPr>
              <w:t xml:space="preserve">Dia. 50–400 mm; length 0.1–1 m; finish 10–50 microns</w:t>
            </w:r>
          </w:p>
        </w:tc>
      </w:tr>
      <w:tr>
        <w:tc>
          <w:tcPr>
            <w:tcW w:type="dxa" w:w="2000"/>
            <w:shd w:fill="F4F5F7" w:color="auto" w:val="clear"/>
            <w:tcMar>
              <w:top w:type="dxa" w:w="100"/>
              <w:left w:type="dxa" w:w="120"/>
              <w:bottom w:type="dxa" w:w="100"/>
              <w:right w:type="dxa" w:w="120"/>
            </w:tcMar>
          </w:tcPr>
          <w:p>
            <w:pPr>
              <w:jc w:val="left"/>
            </w:pPr>
            <w:r>
              <w:rPr>
                <w:b/>
                <w:bCs/>
                <w:color w:val="000000"/>
                <w:sz w:val="19"/>
                <w:szCs w:val="19"/>
              </w:rPr>
              <w:t xml:space="preserve">Pump Parts &amp; Accessories</w:t>
            </w:r>
          </w:p>
        </w:tc>
        <w:tc>
          <w:tcPr>
            <w:tcW w:type="dxa" w:w="3700"/>
            <w:shd w:fill="F4F5F7" w:color="auto" w:val="clear"/>
            <w:tcMar>
              <w:top w:type="dxa" w:w="100"/>
              <w:left w:type="dxa" w:w="120"/>
              <w:bottom w:type="dxa" w:w="100"/>
              <w:right w:type="dxa" w:w="120"/>
            </w:tcMar>
          </w:tcPr>
          <w:p>
            <w:pPr>
              <w:jc w:val="left"/>
            </w:pPr>
            <w:r>
              <w:rPr>
                <w:b w:val="false"/>
                <w:bCs w:val="false"/>
                <w:color w:val="000000"/>
                <w:sz w:val="19"/>
                <w:szCs w:val="19"/>
              </w:rPr>
              <w:t xml:space="preserve">Stainless steel, Duplex, Super Duplex, Nitronic 50</w:t>
            </w:r>
          </w:p>
        </w:tc>
        <w:tc>
          <w:tcPr>
            <w:tcW w:type="dxa" w:w="3660"/>
            <w:shd w:fill="F4F5F7" w:color="auto" w:val="clear"/>
            <w:tcMar>
              <w:top w:type="dxa" w:w="100"/>
              <w:left w:type="dxa" w:w="120"/>
              <w:bottom w:type="dxa" w:w="100"/>
              <w:right w:type="dxa" w:w="120"/>
            </w:tcMar>
          </w:tcPr>
          <w:p>
            <w:pPr>
              <w:jc w:val="left"/>
            </w:pPr>
            <w:r>
              <w:rPr>
                <w:b w:val="false"/>
                <w:bCs w:val="false"/>
                <w:color w:val="000000"/>
                <w:sz w:val="19"/>
                <w:szCs w:val="19"/>
              </w:rPr>
              <w:t xml:space="preserve">Customised to drawing; finish 10–50 microns</w:t>
            </w:r>
          </w:p>
        </w:tc>
      </w:tr>
    </w:tbl>
    <w:p>
      <w:pPr>
        <w:spacing w:after="160" w:line="276"/>
      </w:pPr>
      <w:r>
        <w:rPr>
          <w:sz w:val="21"/>
          <w:szCs w:val="21"/>
        </w:rPr>
        <w:t xml:space="preserve"/>
      </w:r>
    </w:p>
    <w:p>
      <w:pPr>
        <w:pStyle w:val="ListParagraph"/>
        <w:numPr>
          <w:ilvl w:val="0"/>
          <w:numId w:val="2"/>
        </w:numPr>
        <w:spacing w:after="90" w:line="264"/>
      </w:pPr>
      <w:r>
        <w:rPr>
          <w:sz w:val="21"/>
          <w:szCs w:val="21"/>
        </w:rPr>
        <w:t xml:space="preserve">Include Lock Nuts (machining 30–750 mm dia., threading 1–120 mm pitch) and Retainer Rings / Thordon Bearings (70–700 mm dia.) as secondary product lines.</w:t>
      </w:r>
    </w:p>
    <w:p>
      <w:pPr>
        <w:pStyle w:val="ListParagraph"/>
        <w:numPr>
          <w:ilvl w:val="0"/>
          <w:numId w:val="2"/>
        </w:numPr>
        <w:spacing w:after="90" w:line="264"/>
      </w:pPr>
      <w:r>
        <w:rPr>
          <w:sz w:val="21"/>
          <w:szCs w:val="21"/>
        </w:rPr>
        <w:t xml:space="preserve">Each product card links to an enquiry form pre-filled with the product name.</w:t>
      </w:r>
    </w:p>
    <w:p>
      <w:pPr>
        <w:pStyle w:val="Heading2"/>
        <w:spacing w:after="160" w:before="360"/>
      </w:pPr>
      <w:r>
        <w:rPr>
          <w:b/>
          <w:bCs/>
          <w:color w:val="1E2761"/>
          <w:sz w:val="24"/>
          <w:szCs w:val="24"/>
        </w:rPr>
        <w:t xml:space="preserve">7.4 Capabilities</w:t>
      </w:r>
    </w:p>
    <w:p>
      <w:pPr>
        <w:pStyle w:val="ListParagraph"/>
        <w:numPr>
          <w:ilvl w:val="0"/>
          <w:numId w:val="2"/>
        </w:numPr>
        <w:spacing w:after="90" w:line="264"/>
      </w:pPr>
      <w:r>
        <w:rPr>
          <w:sz w:val="21"/>
          <w:szCs w:val="21"/>
        </w:rPr>
        <w:t xml:space="preserve">Machining &amp; grinding capacity table (flange/shaft up to 14 m length and 1500 mm diameter; grinding up to 800 mm diameter, 6.5 m length).</w:t>
      </w:r>
    </w:p>
    <w:p>
      <w:pPr>
        <w:pStyle w:val="ListParagraph"/>
        <w:numPr>
          <w:ilvl w:val="0"/>
          <w:numId w:val="2"/>
        </w:numPr>
        <w:spacing w:after="90" w:line="264"/>
      </w:pPr>
      <w:r>
        <w:rPr>
          <w:sz w:val="21"/>
          <w:szCs w:val="21"/>
        </w:rPr>
        <w:t xml:space="preserve">Equipment list: NXG EZEECUT wire-cut machine, CNC grinding machines, CNC lathe (up to 10,000 mm length, 500 mm diameter), VMC key-way machine.</w:t>
      </w:r>
    </w:p>
    <w:p>
      <w:pPr>
        <w:pStyle w:val="ListParagraph"/>
        <w:numPr>
          <w:ilvl w:val="0"/>
          <w:numId w:val="2"/>
        </w:numPr>
        <w:spacing w:after="90" w:line="264"/>
      </w:pPr>
      <w:r>
        <w:rPr>
          <w:sz w:val="21"/>
          <w:szCs w:val="21"/>
        </w:rPr>
        <w:t xml:space="preserve">Custom gear manufacturing per customer requirement.</w:t>
      </w:r>
    </w:p>
    <w:p>
      <w:pPr>
        <w:pStyle w:val="Heading2"/>
        <w:spacing w:after="160" w:before="360"/>
      </w:pPr>
      <w:r>
        <w:rPr>
          <w:b/>
          <w:bCs/>
          <w:color w:val="1E2761"/>
          <w:sz w:val="24"/>
          <w:szCs w:val="24"/>
        </w:rPr>
        <w:t xml:space="preserve">7.5 Quality &amp; Testing</w:t>
      </w:r>
    </w:p>
    <w:p>
      <w:pPr>
        <w:pStyle w:val="ListParagraph"/>
        <w:numPr>
          <w:ilvl w:val="0"/>
          <w:numId w:val="2"/>
        </w:numPr>
        <w:spacing w:after="90" w:line="264"/>
      </w:pPr>
      <w:r>
        <w:rPr>
          <w:sz w:val="21"/>
          <w:szCs w:val="21"/>
        </w:rPr>
        <w:t xml:space="preserve">ISO 9001:2015 certificate — embed image/PDF viewer, with download link.</w:t>
      </w:r>
    </w:p>
    <w:p>
      <w:pPr>
        <w:pStyle w:val="ListParagraph"/>
        <w:numPr>
          <w:ilvl w:val="0"/>
          <w:numId w:val="2"/>
        </w:numPr>
        <w:spacing w:after="90" w:line="264"/>
      </w:pPr>
      <w:r>
        <w:rPr>
          <w:sz w:val="21"/>
          <w:szCs w:val="21"/>
        </w:rPr>
        <w:t xml:space="preserve">In-house testing: hardness testing, surface check, dye-penetrant NDT.</w:t>
      </w:r>
    </w:p>
    <w:p>
      <w:pPr>
        <w:pStyle w:val="ListParagraph"/>
        <w:numPr>
          <w:ilvl w:val="0"/>
          <w:numId w:val="2"/>
        </w:numPr>
        <w:spacing w:after="90" w:line="264"/>
      </w:pPr>
      <w:r>
        <w:rPr>
          <w:sz w:val="21"/>
          <w:szCs w:val="21"/>
        </w:rPr>
        <w:t xml:space="preserve">Outsourced testing: ultrasonic testing, metallurgical (physical &amp; chemical), heat treatment, radiography NDT, PMI.</w:t>
      </w:r>
    </w:p>
    <w:p>
      <w:pPr>
        <w:pStyle w:val="ListParagraph"/>
        <w:numPr>
          <w:ilvl w:val="0"/>
          <w:numId w:val="2"/>
        </w:numPr>
        <w:spacing w:after="90" w:line="264"/>
      </w:pPr>
      <w:r>
        <w:rPr>
          <w:sz w:val="21"/>
          <w:szCs w:val="21"/>
        </w:rPr>
        <w:t xml:space="preserve">Measuring instrumentation: calipers, micrometers, gauges.</w:t>
      </w:r>
    </w:p>
    <w:p>
      <w:pPr>
        <w:pStyle w:val="Heading2"/>
        <w:spacing w:after="160" w:before="360"/>
      </w:pPr>
      <w:r>
        <w:rPr>
          <w:b/>
          <w:bCs/>
          <w:color w:val="1E2761"/>
          <w:sz w:val="24"/>
          <w:szCs w:val="24"/>
        </w:rPr>
        <w:t xml:space="preserve">7.6 Global Clients</w:t>
      </w:r>
    </w:p>
    <w:p>
      <w:pPr>
        <w:pStyle w:val="ListParagraph"/>
        <w:numPr>
          <w:ilvl w:val="0"/>
          <w:numId w:val="2"/>
        </w:numPr>
        <w:spacing w:after="90" w:line="264"/>
      </w:pPr>
      <w:r>
        <w:rPr>
          <w:sz w:val="21"/>
          <w:szCs w:val="21"/>
        </w:rPr>
        <w:t xml:space="preserve">Named clients with logos (subject to client permission): Flowserve Corporation, EBARA Machinery India, TMEIC, Valmet (Sweden), DMW Corporation, Nash.</w:t>
      </w:r>
    </w:p>
    <w:p>
      <w:pPr>
        <w:pStyle w:val="ListParagraph"/>
        <w:numPr>
          <w:ilvl w:val="0"/>
          <w:numId w:val="2"/>
        </w:numPr>
        <w:spacing w:after="90" w:line="264"/>
      </w:pPr>
      <w:r>
        <w:rPr>
          <w:sz w:val="21"/>
          <w:szCs w:val="21"/>
        </w:rPr>
        <w:t xml:space="preserve">Interactive or static export map highlighting Japan, Korea, Germany, Italy, France, Netherlands, Switzerland, Canada, USA, UAE, Oman, Saudi Arabia.</w:t>
      </w:r>
    </w:p>
    <w:p>
      <w:pPr>
        <w:pStyle w:val="ListParagraph"/>
        <w:numPr>
          <w:ilvl w:val="0"/>
          <w:numId w:val="2"/>
        </w:numPr>
        <w:spacing w:after="90" w:line="264"/>
      </w:pPr>
      <w:r>
        <w:rPr>
          <w:sz w:val="21"/>
          <w:szCs w:val="21"/>
        </w:rPr>
        <w:t xml:space="preserve">If usable, short attributed quotes from the visiting representatives named in the company profile (subject to their consent).</w:t>
      </w:r>
    </w:p>
    <w:p>
      <w:pPr>
        <w:pStyle w:val="Heading2"/>
        <w:spacing w:after="160" w:before="360"/>
      </w:pPr>
      <w:r>
        <w:rPr>
          <w:b/>
          <w:bCs/>
          <w:color w:val="1E2761"/>
          <w:sz w:val="24"/>
          <w:szCs w:val="24"/>
        </w:rPr>
        <w:t xml:space="preserve">7.7 Gallery</w:t>
      </w:r>
    </w:p>
    <w:p>
      <w:pPr>
        <w:pStyle w:val="ListParagraph"/>
        <w:numPr>
          <w:ilvl w:val="0"/>
          <w:numId w:val="2"/>
        </w:numPr>
        <w:spacing w:after="90" w:line="264"/>
      </w:pPr>
      <w:r>
        <w:rPr>
          <w:sz w:val="21"/>
          <w:szCs w:val="21"/>
        </w:rPr>
        <w:t xml:space="preserve">Organised by category: Shop floor &amp; machines, Finished shafts, Sleeves &amp; couplings, In-house assemblies, Special/large-format components.</w:t>
      </w:r>
    </w:p>
    <w:p>
      <w:pPr>
        <w:pStyle w:val="ListParagraph"/>
        <w:numPr>
          <w:ilvl w:val="0"/>
          <w:numId w:val="2"/>
        </w:numPr>
        <w:spacing w:after="90" w:line="264"/>
      </w:pPr>
      <w:r>
        <w:rPr>
          <w:sz w:val="21"/>
          <w:szCs w:val="21"/>
        </w:rPr>
        <w:t xml:space="preserve">Source real photography — replace current site's generic template imagery entirely.</w:t>
      </w:r>
    </w:p>
    <w:p>
      <w:pPr>
        <w:pStyle w:val="Heading2"/>
        <w:spacing w:after="160" w:before="360"/>
      </w:pPr>
      <w:r>
        <w:rPr>
          <w:b/>
          <w:bCs/>
          <w:color w:val="1E2761"/>
          <w:sz w:val="24"/>
          <w:szCs w:val="24"/>
        </w:rPr>
        <w:t xml:space="preserve">7.8 Contact / RFQ</w:t>
      </w:r>
    </w:p>
    <w:p>
      <w:pPr>
        <w:pStyle w:val="ListParagraph"/>
        <w:numPr>
          <w:ilvl w:val="0"/>
          <w:numId w:val="2"/>
        </w:numPr>
        <w:spacing w:after="90" w:line="264"/>
      </w:pPr>
      <w:r>
        <w:rPr>
          <w:sz w:val="21"/>
          <w:szCs w:val="21"/>
        </w:rPr>
        <w:t xml:space="preserve">Structured RFQ form: name, company, country, product type (dropdown), material, size/drawing upload, quantity, message.</w:t>
      </w:r>
    </w:p>
    <w:p>
      <w:pPr>
        <w:pStyle w:val="ListParagraph"/>
        <w:numPr>
          <w:ilvl w:val="0"/>
          <w:numId w:val="2"/>
        </w:numPr>
        <w:spacing w:after="90" w:line="264"/>
      </w:pPr>
      <w:r>
        <w:rPr>
          <w:sz w:val="21"/>
          <w:szCs w:val="21"/>
        </w:rPr>
        <w:t xml:space="preserve">Direct details: CEO and MD phone numbers, company email, registered works address, Google Map embed.</w:t>
      </w:r>
    </w:p>
    <w:p>
      <w:pPr>
        <w:pStyle w:val="ListParagraph"/>
        <w:numPr>
          <w:ilvl w:val="0"/>
          <w:numId w:val="2"/>
        </w:numPr>
        <w:spacing w:after="90" w:line="264"/>
      </w:pPr>
      <w:r>
        <w:rPr>
          <w:sz w:val="21"/>
          <w:szCs w:val="21"/>
        </w:rPr>
        <w:t xml:space="preserve">WhatsApp click-to-chat button for faster informal enquiries from domestic buyers.</w:t>
      </w:r>
    </w:p>
    <w:p>
      <w:pPr>
        <w:pStyle w:val="Heading1"/>
        <w:spacing w:after="240" w:before="480"/>
      </w:pPr>
      <w:r>
        <w:rPr>
          <w:b/>
          <w:bCs/>
          <w:color w:val="1E2761"/>
          <w:sz w:val="32"/>
          <w:szCs w:val="32"/>
        </w:rPr>
        <w:t xml:space="preserve">8. Functional Requirements</w:t>
      </w:r>
    </w:p>
    <w:p>
      <w:pPr>
        <w:pStyle w:val="ListParagraph"/>
        <w:numPr>
          <w:ilvl w:val="0"/>
          <w:numId w:val="2"/>
        </w:numPr>
        <w:spacing w:after="90" w:line="264"/>
      </w:pPr>
      <w:r>
        <w:rPr>
          <w:sz w:val="21"/>
          <w:szCs w:val="21"/>
        </w:rPr>
        <w:t xml:space="preserve">RFQ form with file upload (drawings, up to 10MB, PDF/DWG/JPG/PNG), server-side validation, and email + optional CRM webhook delivery.</w:t>
      </w:r>
    </w:p>
    <w:p>
      <w:pPr>
        <w:pStyle w:val="ListParagraph"/>
        <w:numPr>
          <w:ilvl w:val="0"/>
          <w:numId w:val="2"/>
        </w:numPr>
        <w:spacing w:after="90" w:line="264"/>
      </w:pPr>
      <w:r>
        <w:rPr>
          <w:sz w:val="21"/>
          <w:szCs w:val="21"/>
        </w:rPr>
        <w:t xml:space="preserve">Product content managed so non-technical staff can update specs/photos without code changes (lightweight CMS or structured content files).</w:t>
      </w:r>
    </w:p>
    <w:p>
      <w:pPr>
        <w:pStyle w:val="ListParagraph"/>
        <w:numPr>
          <w:ilvl w:val="0"/>
          <w:numId w:val="2"/>
        </w:numPr>
        <w:spacing w:after="90" w:line="264"/>
      </w:pPr>
      <w:r>
        <w:rPr>
          <w:sz w:val="21"/>
          <w:szCs w:val="21"/>
        </w:rPr>
        <w:t xml:space="preserve">Downloadable ISO certificate and capability/company profile PDF.</w:t>
      </w:r>
    </w:p>
    <w:p>
      <w:pPr>
        <w:pStyle w:val="ListParagraph"/>
        <w:numPr>
          <w:ilvl w:val="0"/>
          <w:numId w:val="2"/>
        </w:numPr>
        <w:spacing w:after="90" w:line="264"/>
      </w:pPr>
      <w:r>
        <w:rPr>
          <w:sz w:val="21"/>
          <w:szCs w:val="21"/>
        </w:rPr>
        <w:t xml:space="preserve">Click-to-call and WhatsApp deep links on mobile.</w:t>
      </w:r>
    </w:p>
    <w:p>
      <w:pPr>
        <w:pStyle w:val="ListParagraph"/>
        <w:numPr>
          <w:ilvl w:val="0"/>
          <w:numId w:val="2"/>
        </w:numPr>
        <w:spacing w:after="90" w:line="264"/>
      </w:pPr>
      <w:r>
        <w:rPr>
          <w:sz w:val="21"/>
          <w:szCs w:val="21"/>
        </w:rPr>
        <w:t xml:space="preserve">Basic analytics on enquiry submissions by product type and country, to inform future sales focus.</w:t>
      </w:r>
    </w:p>
    <w:p>
      <w:pPr>
        <w:pStyle w:val="Heading1"/>
        <w:spacing w:after="240" w:before="480"/>
      </w:pPr>
      <w:r>
        <w:rPr>
          <w:b/>
          <w:bCs/>
          <w:color w:val="1E2761"/>
          <w:sz w:val="32"/>
          <w:szCs w:val="32"/>
        </w:rPr>
        <w:t xml:space="preserve">9. Non-Functional Requirements</w:t>
      </w:r>
    </w:p>
    <w:p>
      <w:pPr>
        <w:pStyle w:val="ListParagraph"/>
        <w:numPr>
          <w:ilvl w:val="0"/>
          <w:numId w:val="2"/>
        </w:numPr>
        <w:spacing w:after="90" w:line="264"/>
      </w:pPr>
      <w:r>
        <w:rPr>
          <w:sz w:val="21"/>
          <w:szCs w:val="21"/>
        </w:rPr>
        <w:t xml:space="preserve">Mobile-first responsive design — many international buyers will first view via mobile.</w:t>
      </w:r>
    </w:p>
    <w:p>
      <w:pPr>
        <w:pStyle w:val="ListParagraph"/>
        <w:numPr>
          <w:ilvl w:val="0"/>
          <w:numId w:val="2"/>
        </w:numPr>
        <w:spacing w:after="90" w:line="264"/>
      </w:pPr>
      <w:r>
        <w:rPr>
          <w:sz w:val="21"/>
          <w:szCs w:val="21"/>
        </w:rPr>
        <w:t xml:space="preserve">Page load under ~2.5s on 4G; images optimised/served responsively.</w:t>
      </w:r>
    </w:p>
    <w:p>
      <w:pPr>
        <w:pStyle w:val="ListParagraph"/>
        <w:numPr>
          <w:ilvl w:val="0"/>
          <w:numId w:val="2"/>
        </w:numPr>
        <w:spacing w:after="90" w:line="264"/>
      </w:pPr>
      <w:r>
        <w:rPr>
          <w:sz w:val="21"/>
          <w:szCs w:val="21"/>
        </w:rPr>
        <w:t xml:space="preserve">On-page SEO: descriptive titles/meta per page, schema.org Organization + Product markup, sitemap.xml, robots.txt.</w:t>
      </w:r>
    </w:p>
    <w:p>
      <w:pPr>
        <w:pStyle w:val="ListParagraph"/>
        <w:numPr>
          <w:ilvl w:val="0"/>
          <w:numId w:val="2"/>
        </w:numPr>
        <w:spacing w:after="90" w:line="264"/>
      </w:pPr>
      <w:r>
        <w:rPr>
          <w:sz w:val="21"/>
          <w:szCs w:val="21"/>
        </w:rPr>
        <w:t xml:space="preserve">Accessibility: WCAG 2.1 AA colour contrast and alt text on all technical imagery.</w:t>
      </w:r>
    </w:p>
    <w:p>
      <w:pPr>
        <w:pStyle w:val="ListParagraph"/>
        <w:numPr>
          <w:ilvl w:val="0"/>
          <w:numId w:val="2"/>
        </w:numPr>
        <w:spacing w:after="90" w:line="264"/>
      </w:pPr>
      <w:r>
        <w:rPr>
          <w:sz w:val="21"/>
          <w:szCs w:val="21"/>
        </w:rPr>
        <w:t xml:space="preserve">HTTPS/SSL, basic form spam protection (honeypot or CAPTCHA), and regular automated backups.</w:t>
      </w:r>
    </w:p>
    <w:p>
      <w:pPr>
        <w:pStyle w:val="Heading1"/>
        <w:spacing w:after="240" w:before="480"/>
      </w:pPr>
      <w:r>
        <w:rPr>
          <w:b/>
          <w:bCs/>
          <w:color w:val="1E2761"/>
          <w:sz w:val="32"/>
          <w:szCs w:val="32"/>
        </w:rPr>
        <w:t xml:space="preserve">10. Technical Architecture</w:t>
      </w:r>
    </w:p>
    <w:p>
      <w:pPr>
        <w:pStyle w:val="Heading2"/>
        <w:spacing w:after="160" w:before="360"/>
      </w:pPr>
      <w:r>
        <w:rPr>
          <w:b/>
          <w:bCs/>
          <w:color w:val="1E2761"/>
          <w:sz w:val="24"/>
          <w:szCs w:val="24"/>
        </w:rPr>
        <w:t xml:space="preserve">Recommended Stack</w:t>
      </w:r>
    </w:p>
    <w:p>
      <w:pPr>
        <w:pStyle w:val="ListParagraph"/>
        <w:numPr>
          <w:ilvl w:val="0"/>
          <w:numId w:val="2"/>
        </w:numPr>
        <w:spacing w:after="90" w:line="264"/>
      </w:pPr>
      <w:r>
        <w:rPr>
          <w:sz w:val="21"/>
          <w:szCs w:val="21"/>
        </w:rPr>
        <w:t xml:space="preserve">Frontend: Next.js (App Router) with TypeScript and Tailwind CSS — static-generated marketing pages with an API route for the RFQ form.</w:t>
      </w:r>
    </w:p>
    <w:p>
      <w:pPr>
        <w:pStyle w:val="ListParagraph"/>
        <w:numPr>
          <w:ilvl w:val="0"/>
          <w:numId w:val="2"/>
        </w:numPr>
        <w:spacing w:after="90" w:line="264"/>
      </w:pPr>
      <w:r>
        <w:rPr>
          <w:sz w:val="21"/>
          <w:szCs w:val="21"/>
        </w:rPr>
        <w:t xml:space="preserve">Content: structured content files (MDX/JSON) or a lightweight headless CMS if the client wants self-service editing without a developer.</w:t>
      </w:r>
    </w:p>
    <w:p>
      <w:pPr>
        <w:pStyle w:val="ListParagraph"/>
        <w:numPr>
          <w:ilvl w:val="0"/>
          <w:numId w:val="2"/>
        </w:numPr>
        <w:spacing w:after="90" w:line="264"/>
      </w:pPr>
      <w:r>
        <w:rPr>
          <w:sz w:val="21"/>
          <w:szCs w:val="21"/>
        </w:rPr>
        <w:t xml:space="preserve">Form handling: serverless API route → transactional email (e.g. Resend/SMTP) with optional storage in a simple database (PostgreSQL) for enquiry history.</w:t>
      </w:r>
    </w:p>
    <w:p>
      <w:pPr>
        <w:pStyle w:val="ListParagraph"/>
        <w:numPr>
          <w:ilvl w:val="0"/>
          <w:numId w:val="2"/>
        </w:numPr>
        <w:spacing w:after="90" w:line="264"/>
      </w:pPr>
      <w:r>
        <w:rPr>
          <w:sz w:val="21"/>
          <w:szCs w:val="21"/>
        </w:rPr>
        <w:t xml:space="preserve">Hosting: Vercel (or equivalent), with the domain, SSL and DNS configured against the existing pakoshaft.com domain.</w:t>
      </w:r>
    </w:p>
    <w:p>
      <w:pPr>
        <w:pStyle w:val="ListParagraph"/>
        <w:numPr>
          <w:ilvl w:val="0"/>
          <w:numId w:val="2"/>
        </w:numPr>
        <w:spacing w:after="90" w:line="264"/>
      </w:pPr>
      <w:r>
        <w:rPr>
          <w:sz w:val="21"/>
          <w:szCs w:val="21"/>
        </w:rPr>
        <w:t xml:space="preserve">Images: served via an image CDN/optimiser (e.g. Vercel Image or Cloudinary) given the photo-heavy nature of the site.</w:t>
      </w:r>
    </w:p>
    <w:p>
      <w:pPr>
        <w:pStyle w:val="Heading2"/>
        <w:spacing w:after="160" w:before="360"/>
      </w:pPr>
      <w:r>
        <w:rPr>
          <w:b/>
          <w:bCs/>
          <w:color w:val="1E2761"/>
          <w:sz w:val="24"/>
          <w:szCs w:val="24"/>
        </w:rPr>
        <w:t xml:space="preserve">Why this scope, not more</w:t>
      </w:r>
    </w:p>
    <w:p>
      <w:pPr>
        <w:spacing w:after="160" w:line="276"/>
      </w:pPr>
      <w:r>
        <w:rPr>
          <w:sz w:val="21"/>
          <w:szCs w:val="21"/>
        </w:rPr>
        <w:t xml:space="preserve">This project does not need user accounts, e-commerce checkout, multi-language localisation, or a custom admin dashboard with roles/permissions — Pako Engineers is a B2B enquiry-driven manufacturer, not a transactional storefront. Building that additional machinery would add cost and maintenance burden without adding sales value. If the business later needs self-service catalogue editing at scale, a headless CMS can be added without a rebuild.</w:t>
      </w:r>
    </w:p>
    <w:p>
      <w:pPr>
        <w:pStyle w:val="Heading1"/>
        <w:spacing w:after="240" w:before="480"/>
      </w:pPr>
      <w:r>
        <w:rPr>
          <w:b/>
          <w:bCs/>
          <w:color w:val="1E2761"/>
          <w:sz w:val="32"/>
          <w:szCs w:val="32"/>
        </w:rPr>
        <w:t xml:space="preserve">11. Content &amp; Asset Checklist — What's Needed From Pako Engineers</w:t>
      </w:r>
    </w:p>
    <w:p>
      <w:pPr>
        <w:pStyle w:val="ListParagraph"/>
        <w:numPr>
          <w:ilvl w:val="0"/>
          <w:numId w:val="2"/>
        </w:numPr>
        <w:spacing w:after="90" w:line="264"/>
      </w:pPr>
      <w:r>
        <w:rPr>
          <w:sz w:val="21"/>
          <w:szCs w:val="21"/>
        </w:rPr>
        <w:t xml:space="preserve">High-resolution photographs: shop floor, machines in operation, finished shafts/sleeves/couplings, completed assemblies (the profile deck's photos are a starting point but were designed for print, not web).</w:t>
      </w:r>
    </w:p>
    <w:p>
      <w:pPr>
        <w:pStyle w:val="ListParagraph"/>
        <w:numPr>
          <w:ilvl w:val="0"/>
          <w:numId w:val="2"/>
        </w:numPr>
        <w:spacing w:after="90" w:line="264"/>
      </w:pPr>
      <w:r>
        <w:rPr>
          <w:sz w:val="21"/>
          <w:szCs w:val="21"/>
        </w:rPr>
        <w:t xml:space="preserve">Written or verbal permission to display named clients (Flowserve, EBARA, TMEIC, Valmet, DMW) and any logos/testimonials.</w:t>
      </w:r>
    </w:p>
    <w:p>
      <w:pPr>
        <w:pStyle w:val="ListParagraph"/>
        <w:numPr>
          <w:ilvl w:val="0"/>
          <w:numId w:val="2"/>
        </w:numPr>
        <w:spacing w:after="90" w:line="264"/>
      </w:pPr>
      <w:r>
        <w:rPr>
          <w:sz w:val="21"/>
          <w:szCs w:val="21"/>
        </w:rPr>
        <w:t xml:space="preserve">A digital copy of the ISO 9001:2015 certificate.</w:t>
      </w:r>
    </w:p>
    <w:p>
      <w:pPr>
        <w:pStyle w:val="ListParagraph"/>
        <w:numPr>
          <w:ilvl w:val="0"/>
          <w:numId w:val="2"/>
        </w:numPr>
        <w:spacing w:after="90" w:line="264"/>
      </w:pPr>
      <w:r>
        <w:rPr>
          <w:sz w:val="21"/>
          <w:szCs w:val="21"/>
        </w:rPr>
        <w:t xml:space="preserve">Confirmation of preferred contact routing for RFQs (which phone/email/person should receive them).</w:t>
      </w:r>
    </w:p>
    <w:p>
      <w:pPr>
        <w:pStyle w:val="ListParagraph"/>
        <w:numPr>
          <w:ilvl w:val="0"/>
          <w:numId w:val="2"/>
        </w:numPr>
        <w:spacing w:after="90" w:line="264"/>
      </w:pPr>
      <w:r>
        <w:rPr>
          <w:sz w:val="21"/>
          <w:szCs w:val="21"/>
        </w:rPr>
        <w:t xml:space="preserve">Any existing product drawings or spec sheets that can be offered as downloads.</w:t>
      </w:r>
    </w:p>
    <w:p>
      <w:pPr>
        <w:pStyle w:val="Heading1"/>
        <w:spacing w:after="240" w:before="480"/>
      </w:pPr>
      <w:r>
        <w:rPr>
          <w:b/>
          <w:bCs/>
          <w:color w:val="1E2761"/>
          <w:sz w:val="32"/>
          <w:szCs w:val="32"/>
        </w:rPr>
        <w:t xml:space="preserve">12. Build Prompt — Ready to Hand to Claude Code</w:t>
      </w:r>
    </w:p>
    <w:p>
      <w:pPr>
        <w:spacing w:after="160" w:line="276"/>
      </w:pPr>
      <w:r>
        <w:rPr>
          <w:sz w:val="21"/>
          <w:szCs w:val="21"/>
        </w:rPr>
        <w:t xml:space="preserve">The following condensed brief can be given directly to a development tool to begin implementation, referencing the fuller detail in Sections 6–9 above.</w:t>
      </w:r>
    </w:p>
    <w:p>
      <w:pPr>
        <w:shd w:fill="F4F5F7" w:color="auto" w:val="clear"/>
        <w:spacing w:after="160"/>
      </w:pPr>
      <w:r>
        <w:rPr>
          <w:i/>
          <w:iCs/>
          <w:sz w:val="20"/>
          <w:szCs w:val="20"/>
        </w:rPr>
        <w:t xml:space="preserve">Build a Next.js + TypeScript + Tailwind CSS corporate website for Pako Engineers, an ISO 9001:2015-certified precision machining company (est. 1994, Sangli, India) exporting shafts, sleeves, couplings, lock nuts and pump parts to 12 countries. Pages: Home, About, Products (with spec tables per Section 7.3), Capabilities, Quality &amp; Testing, Global Clients, Gallery, Contact/RFQ. Use the colour palette and typography in Section 5, the sitemap in Section 6, and the functional/non-functional requirements in Sections 8–9. Use only real content supplied by the client — no placeholder text, no invented testimonials or company names. RFQ form must support file upload and email delivery. Mobile-first, WCAG 2.1 AA, schema.org Organization + Product markup, target sub-2.5s load on 4G.</w:t>
      </w:r>
    </w:p>
    <w:p>
      <w:pPr>
        <w:spacing w:after="160" w:line="276"/>
      </w:pPr>
      <w:r>
        <w:rPr>
          <w:sz w:val="21"/>
          <w:szCs w:val="21"/>
        </w:rPr>
        <w:t xml:space="preserve"/>
      </w:r>
    </w:p>
    <w:p>
      <w:pPr>
        <w:spacing w:after="160" w:line="276"/>
      </w:pPr>
      <w:r>
        <w:rPr>
          <w:sz w:val="21"/>
          <w:szCs w:val="21"/>
        </w:rPr>
        <w:t xml:space="preserve">If deeper detail is needed next — full page-by-page copywriting, a database/CMS schema, or a wireframe set — that can follow as a focused second document rather than folding everything into this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2026-07-04T14:22:52.098Z</dcterms:created>
  <dcterms:modified xsi:type="dcterms:W3CDTF">2026-07-04T14:22:52.098Z</dcterms:modified>
</cp:coreProperties>
</file>

<file path=docProps/custom.xml><?xml version="1.0" encoding="utf-8"?>
<Properties xmlns="http://schemas.openxmlformats.org/officeDocument/2006/custom-properties" xmlns:vt="http://schemas.openxmlformats.org/officeDocument/2006/docPropsVTypes"/>
</file>