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4"/>
        </w:rPr>
        <w:t>HomeWise AI — Comprehensive Academic Literature Review</w:t>
      </w:r>
    </w:p>
    <w:p>
      <w:pPr>
        <w:spacing w:after="480"/>
        <w:jc w:val="center"/>
      </w:pPr>
      <w:r>
        <w:rPr>
          <w:rFonts w:ascii="Calibri" w:hAnsi="Calibri"/>
          <w:b/>
          <w:color w:val="059669"/>
          <w:sz w:val="24"/>
        </w:rPr>
        <w:t>AI-Based Neighborhood Intelligence for Home-Buying Decision Support</w:t>
        <w:br/>
        <w:t>Review 2 Academic Literature Survey of 15 Verified Publications</w:t>
      </w:r>
    </w:p>
    <w:p>
      <w:pPr>
        <w:pStyle w:val="Heading1"/>
      </w:pPr>
      <w:r>
        <w:rPr>
          <w:b/>
          <w:color w:val="0F172A"/>
        </w:rPr>
        <w:t>1. Introduction to the Literature Review</w:t>
      </w:r>
    </w:p>
    <w:p>
      <w:pPr>
        <w:spacing w:after="160" w:line="276" w:lineRule="auto"/>
      </w:pPr>
      <w:r>
        <w:t>Residential location selection is a complex, high-involvement decision problem that sits at the intersection of urban economics, geospatial decision science, computer science, and consumer behavioral psychology. When selecting a home, buyers do not simply purchase a physical structure; they invest in a neighborhood environment defined by access to quality schools, emergency healthcare facilities, commercial markets, public transportation, air quality, flood safety, and long-term community security. Over the past three decades, academic literature has examined various dimensions of this process using discrete choice modeling, GIS-based multi-criteria evaluation, hedonic property pricing, and machine learning.</w:t>
      </w:r>
    </w:p>
    <w:p>
      <w:pPr>
        <w:spacing w:after="360" w:line="276" w:lineRule="auto"/>
      </w:pPr>
      <w:r>
        <w:t>This literature survey systematically reviews 15 academically verified research papers directly relevant to the HomeWise AI decision-support system. The review evaluates established methodologies, identifies critical limitations in existing analytical models, and outlines the specific research gap that HomeWise AI addresses by integrating interactive GIS web mapping, dynamic multi-attribute preference weighting, budget boundary constraints, and natural-language AI insights into a unified residential decision-support platform.</w:t>
      </w:r>
    </w:p>
    <w:p>
      <w:pPr>
        <w:pStyle w:val="Heading1"/>
      </w:pPr>
      <w:r>
        <w:rPr>
          <w:b/>
          <w:color w:val="0F172A"/>
        </w:rPr>
        <w:t>2. Comprehensive Literature Review Summary Table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120" w:type="dxa"/>
              <w:bottom w:w="120" w:type="dxa"/>
              <w:left w:w="100" w:type="dxa"/>
              <w:right w:w="100" w:type="dxa"/>
            </w:tcMar>
          </w:tcPr>
          <w:p>
            <w:pPr>
              <w:jc w:val="center"/>
            </w:pPr>
            <w:r>
              <w:rPr>
                <w:b/>
                <w:color w:val="FFFFFF"/>
                <w:sz w:val="19"/>
              </w:rPr>
              <w:t>Ref.</w:t>
            </w:r>
          </w:p>
        </w:tc>
        <w:tc>
          <w:tcPr>
            <w:tcW w:type="dxa" w:w="1337"/>
            <w:shd w:fill="0F172A"/>
            <w:tcMar>
              <w:top w:w="120" w:type="dxa"/>
              <w:bottom w:w="120" w:type="dxa"/>
              <w:left w:w="100" w:type="dxa"/>
              <w:right w:w="100" w:type="dxa"/>
            </w:tcMar>
          </w:tcPr>
          <w:p>
            <w:r>
              <w:rPr>
                <w:b/>
                <w:color w:val="FFFFFF"/>
                <w:sz w:val="19"/>
              </w:rPr>
              <w:t>Paper Title &amp; Authors</w:t>
            </w:r>
          </w:p>
        </w:tc>
        <w:tc>
          <w:tcPr>
            <w:tcW w:type="dxa" w:w="1337"/>
            <w:shd w:fill="0F172A"/>
            <w:tcMar>
              <w:top w:w="120" w:type="dxa"/>
              <w:bottom w:w="120" w:type="dxa"/>
              <w:left w:w="100" w:type="dxa"/>
              <w:right w:w="100" w:type="dxa"/>
            </w:tcMar>
          </w:tcPr>
          <w:p>
            <w:r>
              <w:rPr>
                <w:b/>
                <w:color w:val="FFFFFF"/>
                <w:sz w:val="19"/>
              </w:rPr>
              <w:t>Journal / Publisher</w:t>
            </w:r>
          </w:p>
        </w:tc>
        <w:tc>
          <w:tcPr>
            <w:tcW w:type="dxa" w:w="1337"/>
            <w:shd w:fill="0F172A"/>
            <w:tcMar>
              <w:top w:w="120" w:type="dxa"/>
              <w:bottom w:w="120" w:type="dxa"/>
              <w:left w:w="100" w:type="dxa"/>
              <w:right w:w="100" w:type="dxa"/>
            </w:tcMar>
          </w:tcPr>
          <w:p>
            <w:pPr>
              <w:jc w:val="center"/>
            </w:pPr>
            <w:r>
              <w:rPr>
                <w:b/>
                <w:color w:val="FFFFFF"/>
                <w:sz w:val="19"/>
              </w:rPr>
              <w:t>Year</w:t>
            </w:r>
          </w:p>
        </w:tc>
        <w:tc>
          <w:tcPr>
            <w:tcW w:type="dxa" w:w="1337"/>
            <w:shd w:fill="0F172A"/>
            <w:tcMar>
              <w:top w:w="120" w:type="dxa"/>
              <w:bottom w:w="120" w:type="dxa"/>
              <w:left w:w="100" w:type="dxa"/>
              <w:right w:w="100" w:type="dxa"/>
            </w:tcMar>
          </w:tcPr>
          <w:p>
            <w:r>
              <w:rPr>
                <w:b/>
                <w:color w:val="FFFFFF"/>
                <w:sz w:val="19"/>
              </w:rPr>
              <w:t>Methodology</w:t>
            </w:r>
          </w:p>
        </w:tc>
        <w:tc>
          <w:tcPr>
            <w:tcW w:type="dxa" w:w="1337"/>
            <w:shd w:fill="0F172A"/>
            <w:tcMar>
              <w:top w:w="120" w:type="dxa"/>
              <w:bottom w:w="120" w:type="dxa"/>
              <w:left w:w="100" w:type="dxa"/>
              <w:right w:w="100" w:type="dxa"/>
            </w:tcMar>
          </w:tcPr>
          <w:p>
            <w:r>
              <w:rPr>
                <w:b/>
                <w:color w:val="FFFFFF"/>
                <w:sz w:val="19"/>
              </w:rPr>
              <w:t>Category</w:t>
            </w:r>
          </w:p>
        </w:tc>
        <w:tc>
          <w:tcPr>
            <w:tcW w:type="dxa" w:w="1337"/>
            <w:shd w:fill="0F172A"/>
            <w:tcMar>
              <w:top w:w="120" w:type="dxa"/>
              <w:bottom w:w="120" w:type="dxa"/>
              <w:left w:w="100" w:type="dxa"/>
              <w:right w:w="100" w:type="dxa"/>
            </w:tcMar>
          </w:tcPr>
          <w:p>
            <w:pPr>
              <w:jc w:val="center"/>
            </w:pPr>
            <w:r>
              <w:rPr>
                <w:b/>
                <w:color w:val="FFFFFF"/>
                <w:sz w:val="19"/>
              </w:rPr>
              <w:t>Status</w:t>
            </w:r>
          </w:p>
        </w:tc>
      </w:tr>
      <w:tr>
        <w:tc>
          <w:tcPr>
            <w:tcW w:type="dxa" w:w="1337"/>
            <w:shd w:fill="F8FAFC"/>
            <w:tcMar>
              <w:top w:w="80" w:type="dxa"/>
              <w:bottom w:w="80" w:type="dxa"/>
              <w:left w:w="100" w:type="dxa"/>
              <w:right w:w="100" w:type="dxa"/>
            </w:tcMar>
          </w:tcPr>
          <w:p>
            <w:pPr>
              <w:jc w:val="center"/>
            </w:pPr>
            <w:r>
              <w:rPr>
                <w:b/>
                <w:sz w:val="17"/>
              </w:rPr>
              <w:t>[1]</w:t>
            </w:r>
          </w:p>
        </w:tc>
        <w:tc>
          <w:tcPr>
            <w:tcW w:type="dxa" w:w="1337"/>
            <w:shd w:fill="F8FAFC"/>
            <w:tcMar>
              <w:top w:w="80" w:type="dxa"/>
              <w:bottom w:w="80" w:type="dxa"/>
              <w:left w:w="100" w:type="dxa"/>
              <w:right w:w="100" w:type="dxa"/>
            </w:tcMar>
          </w:tcPr>
          <w:p>
            <w:pPr>
              <w:jc w:val="left"/>
            </w:pPr>
            <w:r>
              <w:rPr>
                <w:b/>
                <w:sz w:val="17"/>
              </w:rPr>
              <w:t>The role of location in residential location choice models: a review of literature</w:t>
              <w:br/>
              <w:t>(Schirmer et al.)</w:t>
            </w:r>
          </w:p>
        </w:tc>
        <w:tc>
          <w:tcPr>
            <w:tcW w:type="dxa" w:w="1337"/>
            <w:shd w:fill="F8FAFC"/>
            <w:tcMar>
              <w:top w:w="80" w:type="dxa"/>
              <w:bottom w:w="80" w:type="dxa"/>
              <w:left w:w="100" w:type="dxa"/>
              <w:right w:w="100" w:type="dxa"/>
            </w:tcMar>
          </w:tcPr>
          <w:p>
            <w:pPr>
              <w:jc w:val="left"/>
            </w:pPr>
            <w:r>
              <w:rPr>
                <w:b w:val="0"/>
                <w:sz w:val="17"/>
              </w:rPr>
              <w:t>Journal of Transport and Land Use</w:t>
            </w:r>
          </w:p>
        </w:tc>
        <w:tc>
          <w:tcPr>
            <w:tcW w:type="dxa" w:w="1337"/>
            <w:shd w:fill="F8FAFC"/>
            <w:tcMar>
              <w:top w:w="80" w:type="dxa"/>
              <w:bottom w:w="80" w:type="dxa"/>
              <w:left w:w="100" w:type="dxa"/>
              <w:right w:w="100" w:type="dxa"/>
            </w:tcMar>
          </w:tcPr>
          <w:p>
            <w:pPr>
              <w:jc w:val="center"/>
            </w:pPr>
            <w:r>
              <w:rPr>
                <w:b w:val="0"/>
                <w:sz w:val="17"/>
              </w:rPr>
              <w:t>2014</w:t>
            </w:r>
          </w:p>
        </w:tc>
        <w:tc>
          <w:tcPr>
            <w:tcW w:type="dxa" w:w="1337"/>
            <w:shd w:fill="F8FAFC"/>
            <w:tcMar>
              <w:top w:w="80" w:type="dxa"/>
              <w:bottom w:w="80" w:type="dxa"/>
              <w:left w:w="100" w:type="dxa"/>
              <w:right w:w="100" w:type="dxa"/>
            </w:tcMar>
          </w:tcPr>
          <w:p>
            <w:pPr>
              <w:jc w:val="left"/>
            </w:pPr>
            <w:r>
              <w:rPr>
                <w:b w:val="0"/>
                <w:sz w:val="17"/>
              </w:rPr>
              <w:t>Statistical Analysis / Systematic Review</w:t>
            </w:r>
          </w:p>
        </w:tc>
        <w:tc>
          <w:tcPr>
            <w:tcW w:type="dxa" w:w="1337"/>
            <w:shd w:fill="F8FAFC"/>
            <w:tcMar>
              <w:top w:w="80" w:type="dxa"/>
              <w:bottom w:w="80" w:type="dxa"/>
              <w:left w:w="100" w:type="dxa"/>
              <w:right w:w="100" w:type="dxa"/>
            </w:tcMar>
          </w:tcPr>
          <w:p>
            <w:pPr>
              <w:jc w:val="left"/>
            </w:pPr>
            <w:r>
              <w:rPr>
                <w:b w:val="0"/>
                <w:sz w:val="17"/>
              </w:rPr>
              <w:t>Residential / Consumer Decision Making</w:t>
            </w:r>
          </w:p>
        </w:tc>
        <w:tc>
          <w:tcPr>
            <w:tcW w:type="dxa" w:w="1337"/>
            <w:shd w:fill="F8FAFC"/>
            <w:tcMar>
              <w:top w:w="80" w:type="dxa"/>
              <w:bottom w:w="80" w:type="dxa"/>
              <w:left w:w="100" w:type="dxa"/>
              <w:right w:w="100" w:type="dxa"/>
            </w:tcMar>
          </w:tcPr>
          <w:p>
            <w:pPr>
              <w:jc w:val="center"/>
            </w:pPr>
            <w:r>
              <w:rPr>
                <w:b/>
                <w:color w:val="059669"/>
                <w:sz w:val="17"/>
              </w:rPr>
              <w:t>Verified</w:t>
            </w:r>
          </w:p>
        </w:tc>
      </w:tr>
      <w:tr>
        <w:tc>
          <w:tcPr>
            <w:tcW w:type="dxa" w:w="1337"/>
            <w:shd w:fill="FFFFFF"/>
            <w:tcMar>
              <w:top w:w="80" w:type="dxa"/>
              <w:bottom w:w="80" w:type="dxa"/>
              <w:left w:w="100" w:type="dxa"/>
              <w:right w:w="100" w:type="dxa"/>
            </w:tcMar>
          </w:tcPr>
          <w:p>
            <w:pPr>
              <w:jc w:val="center"/>
            </w:pPr>
            <w:r>
              <w:rPr>
                <w:b/>
                <w:sz w:val="17"/>
              </w:rPr>
              <w:t>[2]</w:t>
            </w:r>
          </w:p>
        </w:tc>
        <w:tc>
          <w:tcPr>
            <w:tcW w:type="dxa" w:w="1337"/>
            <w:shd w:fill="FFFFFF"/>
            <w:tcMar>
              <w:top w:w="80" w:type="dxa"/>
              <w:bottom w:w="80" w:type="dxa"/>
              <w:left w:w="100" w:type="dxa"/>
              <w:right w:w="100" w:type="dxa"/>
            </w:tcMar>
          </w:tcPr>
          <w:p>
            <w:pPr>
              <w:jc w:val="left"/>
            </w:pPr>
            <w:r>
              <w:rPr>
                <w:b/>
                <w:sz w:val="17"/>
              </w:rPr>
              <w:t>Predicting consumer response to new housing layouts: a stated choice experiment</w:t>
              <w:br/>
              <w:t>(Molin et al.)</w:t>
            </w:r>
          </w:p>
        </w:tc>
        <w:tc>
          <w:tcPr>
            <w:tcW w:type="dxa" w:w="1337"/>
            <w:shd w:fill="FFFFFF"/>
            <w:tcMar>
              <w:top w:w="80" w:type="dxa"/>
              <w:bottom w:w="80" w:type="dxa"/>
              <w:left w:w="100" w:type="dxa"/>
              <w:right w:w="100" w:type="dxa"/>
            </w:tcMar>
          </w:tcPr>
          <w:p>
            <w:pPr>
              <w:jc w:val="left"/>
            </w:pPr>
            <w:r>
              <w:rPr>
                <w:b w:val="0"/>
                <w:sz w:val="17"/>
              </w:rPr>
              <w:t>Environment and Planning B: Planning and Design</w:t>
            </w:r>
          </w:p>
        </w:tc>
        <w:tc>
          <w:tcPr>
            <w:tcW w:type="dxa" w:w="1337"/>
            <w:shd w:fill="FFFFFF"/>
            <w:tcMar>
              <w:top w:w="80" w:type="dxa"/>
              <w:bottom w:w="80" w:type="dxa"/>
              <w:left w:w="100" w:type="dxa"/>
              <w:right w:w="100" w:type="dxa"/>
            </w:tcMar>
          </w:tcPr>
          <w:p>
            <w:pPr>
              <w:jc w:val="center"/>
            </w:pPr>
            <w:r>
              <w:rPr>
                <w:b w:val="0"/>
                <w:sz w:val="17"/>
              </w:rPr>
              <w:t>1996</w:t>
            </w:r>
          </w:p>
        </w:tc>
        <w:tc>
          <w:tcPr>
            <w:tcW w:type="dxa" w:w="1337"/>
            <w:shd w:fill="FFFFFF"/>
            <w:tcMar>
              <w:top w:w="80" w:type="dxa"/>
              <w:bottom w:w="80" w:type="dxa"/>
              <w:left w:w="100" w:type="dxa"/>
              <w:right w:w="100" w:type="dxa"/>
            </w:tcMar>
          </w:tcPr>
          <w:p>
            <w:pPr>
              <w:jc w:val="left"/>
            </w:pPr>
            <w:r>
              <w:rPr>
                <w:b w:val="0"/>
                <w:sz w:val="17"/>
              </w:rPr>
              <w:t>Survey / Consumer Analysis</w:t>
            </w:r>
          </w:p>
        </w:tc>
        <w:tc>
          <w:tcPr>
            <w:tcW w:type="dxa" w:w="1337"/>
            <w:shd w:fill="FFFFFF"/>
            <w:tcMar>
              <w:top w:w="80" w:type="dxa"/>
              <w:bottom w:w="80" w:type="dxa"/>
              <w:left w:w="100" w:type="dxa"/>
              <w:right w:w="100" w:type="dxa"/>
            </w:tcMar>
          </w:tcPr>
          <w:p>
            <w:pPr>
              <w:jc w:val="left"/>
            </w:pPr>
            <w:r>
              <w:rPr>
                <w:b w:val="0"/>
                <w:sz w:val="17"/>
              </w:rPr>
              <w:t>Residential / Consumer Decision Making</w:t>
            </w:r>
          </w:p>
        </w:tc>
        <w:tc>
          <w:tcPr>
            <w:tcW w:type="dxa" w:w="1337"/>
            <w:shd w:fill="FFFFFF"/>
            <w:tcMar>
              <w:top w:w="80" w:type="dxa"/>
              <w:bottom w:w="80" w:type="dxa"/>
              <w:left w:w="100" w:type="dxa"/>
              <w:right w:w="100" w:type="dxa"/>
            </w:tcMar>
          </w:tcPr>
          <w:p>
            <w:pPr>
              <w:jc w:val="center"/>
            </w:pPr>
            <w:r>
              <w:rPr>
                <w:b/>
                <w:color w:val="059669"/>
                <w:sz w:val="17"/>
              </w:rPr>
              <w:t>Verified</w:t>
            </w:r>
          </w:p>
        </w:tc>
      </w:tr>
      <w:tr>
        <w:tc>
          <w:tcPr>
            <w:tcW w:type="dxa" w:w="1337"/>
            <w:shd w:fill="F8FAFC"/>
            <w:tcMar>
              <w:top w:w="80" w:type="dxa"/>
              <w:bottom w:w="80" w:type="dxa"/>
              <w:left w:w="100" w:type="dxa"/>
              <w:right w:w="100" w:type="dxa"/>
            </w:tcMar>
          </w:tcPr>
          <w:p>
            <w:pPr>
              <w:jc w:val="center"/>
            </w:pPr>
            <w:r>
              <w:rPr>
                <w:b/>
                <w:sz w:val="17"/>
              </w:rPr>
              <w:t>[3]</w:t>
            </w:r>
          </w:p>
        </w:tc>
        <w:tc>
          <w:tcPr>
            <w:tcW w:type="dxa" w:w="1337"/>
            <w:shd w:fill="F8FAFC"/>
            <w:tcMar>
              <w:top w:w="80" w:type="dxa"/>
              <w:bottom w:w="80" w:type="dxa"/>
              <w:left w:w="100" w:type="dxa"/>
              <w:right w:w="100" w:type="dxa"/>
            </w:tcMar>
          </w:tcPr>
          <w:p>
            <w:pPr>
              <w:jc w:val="left"/>
            </w:pPr>
            <w:r>
              <w:rPr>
                <w:b/>
                <w:sz w:val="17"/>
              </w:rPr>
              <w:t>Latent lifestyle preferences and household location decisions</w:t>
              <w:br/>
              <w:t>(Walker &amp; Li)</w:t>
            </w:r>
          </w:p>
        </w:tc>
        <w:tc>
          <w:tcPr>
            <w:tcW w:type="dxa" w:w="1337"/>
            <w:shd w:fill="F8FAFC"/>
            <w:tcMar>
              <w:top w:w="80" w:type="dxa"/>
              <w:bottom w:w="80" w:type="dxa"/>
              <w:left w:w="100" w:type="dxa"/>
              <w:right w:w="100" w:type="dxa"/>
            </w:tcMar>
          </w:tcPr>
          <w:p>
            <w:pPr>
              <w:jc w:val="left"/>
            </w:pPr>
            <w:r>
              <w:rPr>
                <w:b w:val="0"/>
                <w:sz w:val="17"/>
              </w:rPr>
              <w:t>Journal of Geographical Systems</w:t>
            </w:r>
          </w:p>
        </w:tc>
        <w:tc>
          <w:tcPr>
            <w:tcW w:type="dxa" w:w="1337"/>
            <w:shd w:fill="F8FAFC"/>
            <w:tcMar>
              <w:top w:w="80" w:type="dxa"/>
              <w:bottom w:w="80" w:type="dxa"/>
              <w:left w:w="100" w:type="dxa"/>
              <w:right w:w="100" w:type="dxa"/>
            </w:tcMar>
          </w:tcPr>
          <w:p>
            <w:pPr>
              <w:jc w:val="center"/>
            </w:pPr>
            <w:r>
              <w:rPr>
                <w:b w:val="0"/>
                <w:sz w:val="17"/>
              </w:rPr>
              <w:t>2007</w:t>
            </w:r>
          </w:p>
        </w:tc>
        <w:tc>
          <w:tcPr>
            <w:tcW w:type="dxa" w:w="1337"/>
            <w:shd w:fill="F8FAFC"/>
            <w:tcMar>
              <w:top w:w="80" w:type="dxa"/>
              <w:bottom w:w="80" w:type="dxa"/>
              <w:left w:w="100" w:type="dxa"/>
              <w:right w:w="100" w:type="dxa"/>
            </w:tcMar>
          </w:tcPr>
          <w:p>
            <w:pPr>
              <w:jc w:val="left"/>
            </w:pPr>
            <w:r>
              <w:rPr>
                <w:b w:val="0"/>
                <w:sz w:val="17"/>
              </w:rPr>
              <w:t>Statistical Analysis</w:t>
            </w:r>
          </w:p>
        </w:tc>
        <w:tc>
          <w:tcPr>
            <w:tcW w:type="dxa" w:w="1337"/>
            <w:shd w:fill="F8FAFC"/>
            <w:tcMar>
              <w:top w:w="80" w:type="dxa"/>
              <w:bottom w:w="80" w:type="dxa"/>
              <w:left w:w="100" w:type="dxa"/>
              <w:right w:w="100" w:type="dxa"/>
            </w:tcMar>
          </w:tcPr>
          <w:p>
            <w:pPr>
              <w:jc w:val="left"/>
            </w:pPr>
            <w:r>
              <w:rPr>
                <w:b w:val="0"/>
                <w:sz w:val="17"/>
              </w:rPr>
              <w:t>Residential / Consumer Decision Making</w:t>
            </w:r>
          </w:p>
        </w:tc>
        <w:tc>
          <w:tcPr>
            <w:tcW w:type="dxa" w:w="1337"/>
            <w:shd w:fill="F8FAFC"/>
            <w:tcMar>
              <w:top w:w="80" w:type="dxa"/>
              <w:bottom w:w="80" w:type="dxa"/>
              <w:left w:w="100" w:type="dxa"/>
              <w:right w:w="100" w:type="dxa"/>
            </w:tcMar>
          </w:tcPr>
          <w:p>
            <w:pPr>
              <w:jc w:val="center"/>
            </w:pPr>
            <w:r>
              <w:rPr>
                <w:b/>
                <w:color w:val="059669"/>
                <w:sz w:val="17"/>
              </w:rPr>
              <w:t>Verified</w:t>
            </w:r>
          </w:p>
        </w:tc>
      </w:tr>
      <w:tr>
        <w:tc>
          <w:tcPr>
            <w:tcW w:type="dxa" w:w="1337"/>
            <w:shd w:fill="FFFFFF"/>
            <w:tcMar>
              <w:top w:w="80" w:type="dxa"/>
              <w:bottom w:w="80" w:type="dxa"/>
              <w:left w:w="100" w:type="dxa"/>
              <w:right w:w="100" w:type="dxa"/>
            </w:tcMar>
          </w:tcPr>
          <w:p>
            <w:pPr>
              <w:jc w:val="center"/>
            </w:pPr>
            <w:r>
              <w:rPr>
                <w:b/>
                <w:sz w:val="17"/>
              </w:rPr>
              <w:t>[4]</w:t>
            </w:r>
          </w:p>
        </w:tc>
        <w:tc>
          <w:tcPr>
            <w:tcW w:type="dxa" w:w="1337"/>
            <w:shd w:fill="FFFFFF"/>
            <w:tcMar>
              <w:top w:w="80" w:type="dxa"/>
              <w:bottom w:w="80" w:type="dxa"/>
              <w:left w:w="100" w:type="dxa"/>
              <w:right w:w="100" w:type="dxa"/>
            </w:tcMar>
          </w:tcPr>
          <w:p>
            <w:pPr>
              <w:jc w:val="left"/>
            </w:pPr>
            <w:r>
              <w:rPr>
                <w:b/>
                <w:sz w:val="17"/>
              </w:rPr>
              <w:t>How neighborhood features affect quality of life</w:t>
              <w:br/>
              <w:t>(Sirgy &amp; Cornwell)</w:t>
            </w:r>
          </w:p>
        </w:tc>
        <w:tc>
          <w:tcPr>
            <w:tcW w:type="dxa" w:w="1337"/>
            <w:shd w:fill="FFFFFF"/>
            <w:tcMar>
              <w:top w:w="80" w:type="dxa"/>
              <w:bottom w:w="80" w:type="dxa"/>
              <w:left w:w="100" w:type="dxa"/>
              <w:right w:w="100" w:type="dxa"/>
            </w:tcMar>
          </w:tcPr>
          <w:p>
            <w:pPr>
              <w:jc w:val="left"/>
            </w:pPr>
            <w:r>
              <w:rPr>
                <w:b w:val="0"/>
                <w:sz w:val="17"/>
              </w:rPr>
              <w:t>Social Indicators Research</w:t>
            </w:r>
          </w:p>
        </w:tc>
        <w:tc>
          <w:tcPr>
            <w:tcW w:type="dxa" w:w="1337"/>
            <w:shd w:fill="FFFFFF"/>
            <w:tcMar>
              <w:top w:w="80" w:type="dxa"/>
              <w:bottom w:w="80" w:type="dxa"/>
              <w:left w:w="100" w:type="dxa"/>
              <w:right w:w="100" w:type="dxa"/>
            </w:tcMar>
          </w:tcPr>
          <w:p>
            <w:pPr>
              <w:jc w:val="center"/>
            </w:pPr>
            <w:r>
              <w:rPr>
                <w:b w:val="0"/>
                <w:sz w:val="17"/>
              </w:rPr>
              <w:t>2002</w:t>
            </w:r>
          </w:p>
        </w:tc>
        <w:tc>
          <w:tcPr>
            <w:tcW w:type="dxa" w:w="1337"/>
            <w:shd w:fill="FFFFFF"/>
            <w:tcMar>
              <w:top w:w="80" w:type="dxa"/>
              <w:bottom w:w="80" w:type="dxa"/>
              <w:left w:w="100" w:type="dxa"/>
              <w:right w:w="100" w:type="dxa"/>
            </w:tcMar>
          </w:tcPr>
          <w:p>
            <w:pPr>
              <w:jc w:val="left"/>
            </w:pPr>
            <w:r>
              <w:rPr>
                <w:b w:val="0"/>
                <w:sz w:val="17"/>
              </w:rPr>
              <w:t>Survey / Consumer Analysis</w:t>
            </w:r>
          </w:p>
        </w:tc>
        <w:tc>
          <w:tcPr>
            <w:tcW w:type="dxa" w:w="1337"/>
            <w:shd w:fill="FFFFFF"/>
            <w:tcMar>
              <w:top w:w="80" w:type="dxa"/>
              <w:bottom w:w="80" w:type="dxa"/>
              <w:left w:w="100" w:type="dxa"/>
              <w:right w:w="100" w:type="dxa"/>
            </w:tcMar>
          </w:tcPr>
          <w:p>
            <w:pPr>
              <w:jc w:val="left"/>
            </w:pPr>
            <w:r>
              <w:rPr>
                <w:b w:val="0"/>
                <w:sz w:val="17"/>
              </w:rPr>
              <w:t>Residential / Consumer Decision Making</w:t>
            </w:r>
          </w:p>
        </w:tc>
        <w:tc>
          <w:tcPr>
            <w:tcW w:type="dxa" w:w="1337"/>
            <w:shd w:fill="FFFFFF"/>
            <w:tcMar>
              <w:top w:w="80" w:type="dxa"/>
              <w:bottom w:w="80" w:type="dxa"/>
              <w:left w:w="100" w:type="dxa"/>
              <w:right w:w="100" w:type="dxa"/>
            </w:tcMar>
          </w:tcPr>
          <w:p>
            <w:pPr>
              <w:jc w:val="center"/>
            </w:pPr>
            <w:r>
              <w:rPr>
                <w:b/>
                <w:color w:val="059669"/>
                <w:sz w:val="17"/>
              </w:rPr>
              <w:t>Verified</w:t>
            </w:r>
          </w:p>
        </w:tc>
      </w:tr>
      <w:tr>
        <w:tc>
          <w:tcPr>
            <w:tcW w:type="dxa" w:w="1337"/>
            <w:shd w:fill="F8FAFC"/>
            <w:tcMar>
              <w:top w:w="80" w:type="dxa"/>
              <w:bottom w:w="80" w:type="dxa"/>
              <w:left w:w="100" w:type="dxa"/>
              <w:right w:w="100" w:type="dxa"/>
            </w:tcMar>
          </w:tcPr>
          <w:p>
            <w:pPr>
              <w:jc w:val="center"/>
            </w:pPr>
            <w:r>
              <w:rPr>
                <w:b/>
                <w:sz w:val="17"/>
              </w:rPr>
              <w:t>[5]</w:t>
            </w:r>
          </w:p>
        </w:tc>
        <w:tc>
          <w:tcPr>
            <w:tcW w:type="dxa" w:w="1337"/>
            <w:shd w:fill="F8FAFC"/>
            <w:tcMar>
              <w:top w:w="80" w:type="dxa"/>
              <w:bottom w:w="80" w:type="dxa"/>
              <w:left w:w="100" w:type="dxa"/>
              <w:right w:w="100" w:type="dxa"/>
            </w:tcMar>
          </w:tcPr>
          <w:p>
            <w:pPr>
              <w:jc w:val="left"/>
            </w:pPr>
            <w:r>
              <w:rPr>
                <w:b/>
                <w:sz w:val="17"/>
              </w:rPr>
              <w:t>GIS‐based multicriteria decision analysis: a survey of the literature</w:t>
              <w:br/>
              <w:t>(Malczewski)</w:t>
            </w:r>
          </w:p>
        </w:tc>
        <w:tc>
          <w:tcPr>
            <w:tcW w:type="dxa" w:w="1337"/>
            <w:shd w:fill="F8FAFC"/>
            <w:tcMar>
              <w:top w:w="80" w:type="dxa"/>
              <w:bottom w:w="80" w:type="dxa"/>
              <w:left w:w="100" w:type="dxa"/>
              <w:right w:w="100" w:type="dxa"/>
            </w:tcMar>
          </w:tcPr>
          <w:p>
            <w:pPr>
              <w:jc w:val="left"/>
            </w:pPr>
            <w:r>
              <w:rPr>
                <w:b w:val="0"/>
                <w:sz w:val="17"/>
              </w:rPr>
              <w:t>International Journal of Geographical Information Science</w:t>
            </w:r>
          </w:p>
        </w:tc>
        <w:tc>
          <w:tcPr>
            <w:tcW w:type="dxa" w:w="1337"/>
            <w:shd w:fill="F8FAFC"/>
            <w:tcMar>
              <w:top w:w="80" w:type="dxa"/>
              <w:bottom w:w="80" w:type="dxa"/>
              <w:left w:w="100" w:type="dxa"/>
              <w:right w:w="100" w:type="dxa"/>
            </w:tcMar>
          </w:tcPr>
          <w:p>
            <w:pPr>
              <w:jc w:val="center"/>
            </w:pPr>
            <w:r>
              <w:rPr>
                <w:b w:val="0"/>
                <w:sz w:val="17"/>
              </w:rPr>
              <w:t>2006</w:t>
            </w:r>
          </w:p>
        </w:tc>
        <w:tc>
          <w:tcPr>
            <w:tcW w:type="dxa" w:w="1337"/>
            <w:shd w:fill="F8FAFC"/>
            <w:tcMar>
              <w:top w:w="80" w:type="dxa"/>
              <w:bottom w:w="80" w:type="dxa"/>
              <w:left w:w="100" w:type="dxa"/>
              <w:right w:w="100" w:type="dxa"/>
            </w:tcMar>
          </w:tcPr>
          <w:p>
            <w:pPr>
              <w:jc w:val="left"/>
            </w:pPr>
            <w:r>
              <w:rPr>
                <w:b w:val="0"/>
                <w:sz w:val="17"/>
              </w:rPr>
              <w:t>GIS / Multi-Criteria Evaluation</w:t>
            </w:r>
          </w:p>
        </w:tc>
        <w:tc>
          <w:tcPr>
            <w:tcW w:type="dxa" w:w="1337"/>
            <w:shd w:fill="F8FAFC"/>
            <w:tcMar>
              <w:top w:w="80" w:type="dxa"/>
              <w:bottom w:w="80" w:type="dxa"/>
              <w:left w:w="100" w:type="dxa"/>
              <w:right w:w="100" w:type="dxa"/>
            </w:tcMar>
          </w:tcPr>
          <w:p>
            <w:pPr>
              <w:jc w:val="left"/>
            </w:pPr>
            <w:r>
              <w:rPr>
                <w:b w:val="0"/>
                <w:sz w:val="17"/>
              </w:rPr>
              <w:t>GIS-based Location Suitability</w:t>
            </w:r>
          </w:p>
        </w:tc>
        <w:tc>
          <w:tcPr>
            <w:tcW w:type="dxa" w:w="1337"/>
            <w:shd w:fill="F8FAFC"/>
            <w:tcMar>
              <w:top w:w="80" w:type="dxa"/>
              <w:bottom w:w="80" w:type="dxa"/>
              <w:left w:w="100" w:type="dxa"/>
              <w:right w:w="100" w:type="dxa"/>
            </w:tcMar>
          </w:tcPr>
          <w:p>
            <w:pPr>
              <w:jc w:val="center"/>
            </w:pPr>
            <w:r>
              <w:rPr>
                <w:b/>
                <w:color w:val="059669"/>
                <w:sz w:val="17"/>
              </w:rPr>
              <w:t>Verified</w:t>
            </w:r>
          </w:p>
        </w:tc>
      </w:tr>
      <w:tr>
        <w:tc>
          <w:tcPr>
            <w:tcW w:type="dxa" w:w="1337"/>
            <w:shd w:fill="FFFFFF"/>
            <w:tcMar>
              <w:top w:w="80" w:type="dxa"/>
              <w:bottom w:w="80" w:type="dxa"/>
              <w:left w:w="100" w:type="dxa"/>
              <w:right w:w="100" w:type="dxa"/>
            </w:tcMar>
          </w:tcPr>
          <w:p>
            <w:pPr>
              <w:jc w:val="center"/>
            </w:pPr>
            <w:r>
              <w:rPr>
                <w:b/>
                <w:sz w:val="17"/>
              </w:rPr>
              <w:t>[6]</w:t>
            </w:r>
          </w:p>
        </w:tc>
        <w:tc>
          <w:tcPr>
            <w:tcW w:type="dxa" w:w="1337"/>
            <w:shd w:fill="FFFFFF"/>
            <w:tcMar>
              <w:top w:w="80" w:type="dxa"/>
              <w:bottom w:w="80" w:type="dxa"/>
              <w:left w:w="100" w:type="dxa"/>
              <w:right w:w="100" w:type="dxa"/>
            </w:tcMar>
          </w:tcPr>
          <w:p>
            <w:pPr>
              <w:jc w:val="left"/>
            </w:pPr>
            <w:r>
              <w:rPr>
                <w:b/>
                <w:sz w:val="17"/>
              </w:rPr>
              <w:t>GIS-based multicriteria decision analysis of land suitability for housing development</w:t>
              <w:br/>
              <w:t>(Chandio et al.)</w:t>
            </w:r>
          </w:p>
        </w:tc>
        <w:tc>
          <w:tcPr>
            <w:tcW w:type="dxa" w:w="1337"/>
            <w:shd w:fill="FFFFFF"/>
            <w:tcMar>
              <w:top w:w="80" w:type="dxa"/>
              <w:bottom w:w="80" w:type="dxa"/>
              <w:left w:w="100" w:type="dxa"/>
              <w:right w:w="100" w:type="dxa"/>
            </w:tcMar>
          </w:tcPr>
          <w:p>
            <w:pPr>
              <w:jc w:val="left"/>
            </w:pPr>
            <w:r>
              <w:rPr>
                <w:b w:val="0"/>
                <w:sz w:val="17"/>
              </w:rPr>
              <w:t>Environmental Earth Sciences</w:t>
            </w:r>
          </w:p>
        </w:tc>
        <w:tc>
          <w:tcPr>
            <w:tcW w:type="dxa" w:w="1337"/>
            <w:shd w:fill="FFFFFF"/>
            <w:tcMar>
              <w:top w:w="80" w:type="dxa"/>
              <w:bottom w:w="80" w:type="dxa"/>
              <w:left w:w="100" w:type="dxa"/>
              <w:right w:w="100" w:type="dxa"/>
            </w:tcMar>
          </w:tcPr>
          <w:p>
            <w:pPr>
              <w:jc w:val="center"/>
            </w:pPr>
            <w:r>
              <w:rPr>
                <w:b w:val="0"/>
                <w:sz w:val="17"/>
              </w:rPr>
              <w:t>2014</w:t>
            </w:r>
          </w:p>
        </w:tc>
        <w:tc>
          <w:tcPr>
            <w:tcW w:type="dxa" w:w="1337"/>
            <w:shd w:fill="FFFFFF"/>
            <w:tcMar>
              <w:top w:w="80" w:type="dxa"/>
              <w:bottom w:w="80" w:type="dxa"/>
              <w:left w:w="100" w:type="dxa"/>
              <w:right w:w="100" w:type="dxa"/>
            </w:tcMar>
          </w:tcPr>
          <w:p>
            <w:pPr>
              <w:jc w:val="left"/>
            </w:pPr>
            <w:r>
              <w:rPr>
                <w:b w:val="0"/>
                <w:sz w:val="17"/>
              </w:rPr>
              <w:t>GIS / Multi-Criteria Evaluation</w:t>
            </w:r>
          </w:p>
        </w:tc>
        <w:tc>
          <w:tcPr>
            <w:tcW w:type="dxa" w:w="1337"/>
            <w:shd w:fill="FFFFFF"/>
            <w:tcMar>
              <w:top w:w="80" w:type="dxa"/>
              <w:bottom w:w="80" w:type="dxa"/>
              <w:left w:w="100" w:type="dxa"/>
              <w:right w:w="100" w:type="dxa"/>
            </w:tcMar>
          </w:tcPr>
          <w:p>
            <w:pPr>
              <w:jc w:val="left"/>
            </w:pPr>
            <w:r>
              <w:rPr>
                <w:b w:val="0"/>
                <w:sz w:val="17"/>
              </w:rPr>
              <w:t>GIS-based Location Suitability</w:t>
            </w:r>
          </w:p>
        </w:tc>
        <w:tc>
          <w:tcPr>
            <w:tcW w:type="dxa" w:w="1337"/>
            <w:shd w:fill="FFFFFF"/>
            <w:tcMar>
              <w:top w:w="80" w:type="dxa"/>
              <w:bottom w:w="80" w:type="dxa"/>
              <w:left w:w="100" w:type="dxa"/>
              <w:right w:w="100" w:type="dxa"/>
            </w:tcMar>
          </w:tcPr>
          <w:p>
            <w:pPr>
              <w:jc w:val="center"/>
            </w:pPr>
            <w:r>
              <w:rPr>
                <w:b/>
                <w:color w:val="059669"/>
                <w:sz w:val="17"/>
              </w:rPr>
              <w:t>Verified</w:t>
            </w:r>
          </w:p>
        </w:tc>
      </w:tr>
      <w:tr>
        <w:tc>
          <w:tcPr>
            <w:tcW w:type="dxa" w:w="1337"/>
            <w:shd w:fill="F8FAFC"/>
            <w:tcMar>
              <w:top w:w="80" w:type="dxa"/>
              <w:bottom w:w="80" w:type="dxa"/>
              <w:left w:w="100" w:type="dxa"/>
              <w:right w:w="100" w:type="dxa"/>
            </w:tcMar>
          </w:tcPr>
          <w:p>
            <w:pPr>
              <w:jc w:val="center"/>
            </w:pPr>
            <w:r>
              <w:rPr>
                <w:b/>
                <w:sz w:val="17"/>
              </w:rPr>
              <w:t>[7]</w:t>
            </w:r>
          </w:p>
        </w:tc>
        <w:tc>
          <w:tcPr>
            <w:tcW w:type="dxa" w:w="1337"/>
            <w:shd w:fill="F8FAFC"/>
            <w:tcMar>
              <w:top w:w="80" w:type="dxa"/>
              <w:bottom w:w="80" w:type="dxa"/>
              <w:left w:w="100" w:type="dxa"/>
              <w:right w:w="100" w:type="dxa"/>
            </w:tcMar>
          </w:tcPr>
          <w:p>
            <w:pPr>
              <w:jc w:val="left"/>
            </w:pPr>
            <w:r>
              <w:rPr>
                <w:b/>
                <w:sz w:val="17"/>
              </w:rPr>
              <w:t>Decision making on business site selection utilizing hybrid MCDM model under fuzzy environment</w:t>
              <w:br/>
              <w:t>(Zolfani et al.)</w:t>
            </w:r>
          </w:p>
        </w:tc>
        <w:tc>
          <w:tcPr>
            <w:tcW w:type="dxa" w:w="1337"/>
            <w:shd w:fill="F8FAFC"/>
            <w:tcMar>
              <w:top w:w="80" w:type="dxa"/>
              <w:bottom w:w="80" w:type="dxa"/>
              <w:left w:w="100" w:type="dxa"/>
              <w:right w:w="100" w:type="dxa"/>
            </w:tcMar>
          </w:tcPr>
          <w:p>
            <w:pPr>
              <w:jc w:val="left"/>
            </w:pPr>
            <w:r>
              <w:rPr>
                <w:b w:val="0"/>
                <w:sz w:val="17"/>
              </w:rPr>
              <w:t>International Journal of Strategic Property Management</w:t>
            </w:r>
          </w:p>
        </w:tc>
        <w:tc>
          <w:tcPr>
            <w:tcW w:type="dxa" w:w="1337"/>
            <w:shd w:fill="F8FAFC"/>
            <w:tcMar>
              <w:top w:w="80" w:type="dxa"/>
              <w:bottom w:w="80" w:type="dxa"/>
              <w:left w:w="100" w:type="dxa"/>
              <w:right w:w="100" w:type="dxa"/>
            </w:tcMar>
          </w:tcPr>
          <w:p>
            <w:pPr>
              <w:jc w:val="center"/>
            </w:pPr>
            <w:r>
              <w:rPr>
                <w:b w:val="0"/>
                <w:sz w:val="17"/>
              </w:rPr>
              <w:t>2013</w:t>
            </w:r>
          </w:p>
        </w:tc>
        <w:tc>
          <w:tcPr>
            <w:tcW w:type="dxa" w:w="1337"/>
            <w:shd w:fill="F8FAFC"/>
            <w:tcMar>
              <w:top w:w="80" w:type="dxa"/>
              <w:bottom w:w="80" w:type="dxa"/>
              <w:left w:w="100" w:type="dxa"/>
              <w:right w:w="100" w:type="dxa"/>
            </w:tcMar>
          </w:tcPr>
          <w:p>
            <w:pPr>
              <w:jc w:val="left"/>
            </w:pPr>
            <w:r>
              <w:rPr>
                <w:b w:val="0"/>
                <w:sz w:val="17"/>
              </w:rPr>
              <w:t>Multi-Criteria Decision Making (MCDM)</w:t>
            </w:r>
          </w:p>
        </w:tc>
        <w:tc>
          <w:tcPr>
            <w:tcW w:type="dxa" w:w="1337"/>
            <w:shd w:fill="F8FAFC"/>
            <w:tcMar>
              <w:top w:w="80" w:type="dxa"/>
              <w:bottom w:w="80" w:type="dxa"/>
              <w:left w:w="100" w:type="dxa"/>
              <w:right w:w="100" w:type="dxa"/>
            </w:tcMar>
          </w:tcPr>
          <w:p>
            <w:pPr>
              <w:jc w:val="left"/>
            </w:pPr>
            <w:r>
              <w:rPr>
                <w:b w:val="0"/>
                <w:sz w:val="17"/>
              </w:rPr>
              <w:t>Multi-Criteria Decision Making (MCDM)</w:t>
            </w:r>
          </w:p>
        </w:tc>
        <w:tc>
          <w:tcPr>
            <w:tcW w:type="dxa" w:w="1337"/>
            <w:shd w:fill="F8FAFC"/>
            <w:tcMar>
              <w:top w:w="80" w:type="dxa"/>
              <w:bottom w:w="80" w:type="dxa"/>
              <w:left w:w="100" w:type="dxa"/>
              <w:right w:w="100" w:type="dxa"/>
            </w:tcMar>
          </w:tcPr>
          <w:p>
            <w:pPr>
              <w:jc w:val="center"/>
            </w:pPr>
            <w:r>
              <w:rPr>
                <w:b/>
                <w:color w:val="059669"/>
                <w:sz w:val="17"/>
              </w:rPr>
              <w:t>Verified</w:t>
            </w:r>
          </w:p>
        </w:tc>
      </w:tr>
      <w:tr>
        <w:tc>
          <w:tcPr>
            <w:tcW w:type="dxa" w:w="1337"/>
            <w:shd w:fill="FFFFFF"/>
            <w:tcMar>
              <w:top w:w="80" w:type="dxa"/>
              <w:bottom w:w="80" w:type="dxa"/>
              <w:left w:w="100" w:type="dxa"/>
              <w:right w:w="100" w:type="dxa"/>
            </w:tcMar>
          </w:tcPr>
          <w:p>
            <w:pPr>
              <w:jc w:val="center"/>
            </w:pPr>
            <w:r>
              <w:rPr>
                <w:b/>
                <w:sz w:val="17"/>
              </w:rPr>
              <w:t>[8]</w:t>
            </w:r>
          </w:p>
        </w:tc>
        <w:tc>
          <w:tcPr>
            <w:tcW w:type="dxa" w:w="1337"/>
            <w:shd w:fill="FFFFFF"/>
            <w:tcMar>
              <w:top w:w="80" w:type="dxa"/>
              <w:bottom w:w="80" w:type="dxa"/>
              <w:left w:w="100" w:type="dxa"/>
              <w:right w:w="100" w:type="dxa"/>
            </w:tcMar>
          </w:tcPr>
          <w:p>
            <w:pPr>
              <w:jc w:val="left"/>
            </w:pPr>
            <w:r>
              <w:rPr>
                <w:b/>
                <w:sz w:val="17"/>
              </w:rPr>
              <w:t>A New Model for Determining Weight Coefficients of Criteria in MCDM Models: Full Consistency Method (FUCOM)</w:t>
              <w:br/>
              <w:t>(Pamučar et al.)</w:t>
            </w:r>
          </w:p>
        </w:tc>
        <w:tc>
          <w:tcPr>
            <w:tcW w:type="dxa" w:w="1337"/>
            <w:shd w:fill="FFFFFF"/>
            <w:tcMar>
              <w:top w:w="80" w:type="dxa"/>
              <w:bottom w:w="80" w:type="dxa"/>
              <w:left w:w="100" w:type="dxa"/>
              <w:right w:w="100" w:type="dxa"/>
            </w:tcMar>
          </w:tcPr>
          <w:p>
            <w:pPr>
              <w:jc w:val="left"/>
            </w:pPr>
            <w:r>
              <w:rPr>
                <w:b w:val="0"/>
                <w:sz w:val="17"/>
              </w:rPr>
              <w:t>Symmetry</w:t>
            </w:r>
          </w:p>
        </w:tc>
        <w:tc>
          <w:tcPr>
            <w:tcW w:type="dxa" w:w="1337"/>
            <w:shd w:fill="FFFFFF"/>
            <w:tcMar>
              <w:top w:w="80" w:type="dxa"/>
              <w:bottom w:w="80" w:type="dxa"/>
              <w:left w:w="100" w:type="dxa"/>
              <w:right w:w="100" w:type="dxa"/>
            </w:tcMar>
          </w:tcPr>
          <w:p>
            <w:pPr>
              <w:jc w:val="center"/>
            </w:pPr>
            <w:r>
              <w:rPr>
                <w:b w:val="0"/>
                <w:sz w:val="17"/>
              </w:rPr>
              <w:t>2018</w:t>
            </w:r>
          </w:p>
        </w:tc>
        <w:tc>
          <w:tcPr>
            <w:tcW w:type="dxa" w:w="1337"/>
            <w:shd w:fill="FFFFFF"/>
            <w:tcMar>
              <w:top w:w="80" w:type="dxa"/>
              <w:bottom w:w="80" w:type="dxa"/>
              <w:left w:w="100" w:type="dxa"/>
              <w:right w:w="100" w:type="dxa"/>
            </w:tcMar>
          </w:tcPr>
          <w:p>
            <w:pPr>
              <w:jc w:val="left"/>
            </w:pPr>
            <w:r>
              <w:rPr>
                <w:b w:val="0"/>
                <w:sz w:val="17"/>
              </w:rPr>
              <w:t>Optimization / MCDM</w:t>
            </w:r>
          </w:p>
        </w:tc>
        <w:tc>
          <w:tcPr>
            <w:tcW w:type="dxa" w:w="1337"/>
            <w:shd w:fill="FFFFFF"/>
            <w:tcMar>
              <w:top w:w="80" w:type="dxa"/>
              <w:bottom w:w="80" w:type="dxa"/>
              <w:left w:w="100" w:type="dxa"/>
              <w:right w:w="100" w:type="dxa"/>
            </w:tcMar>
          </w:tcPr>
          <w:p>
            <w:pPr>
              <w:jc w:val="left"/>
            </w:pPr>
            <w:r>
              <w:rPr>
                <w:b w:val="0"/>
                <w:sz w:val="17"/>
              </w:rPr>
              <w:t>Multi-Criteria Decision Making (MCDM)</w:t>
            </w:r>
          </w:p>
        </w:tc>
        <w:tc>
          <w:tcPr>
            <w:tcW w:type="dxa" w:w="1337"/>
            <w:shd w:fill="FFFFFF"/>
            <w:tcMar>
              <w:top w:w="80" w:type="dxa"/>
              <w:bottom w:w="80" w:type="dxa"/>
              <w:left w:w="100" w:type="dxa"/>
              <w:right w:w="100" w:type="dxa"/>
            </w:tcMar>
          </w:tcPr>
          <w:p>
            <w:pPr>
              <w:jc w:val="center"/>
            </w:pPr>
            <w:r>
              <w:rPr>
                <w:b/>
                <w:color w:val="059669"/>
                <w:sz w:val="17"/>
              </w:rPr>
              <w:t>Verified</w:t>
            </w:r>
          </w:p>
        </w:tc>
      </w:tr>
      <w:tr>
        <w:tc>
          <w:tcPr>
            <w:tcW w:type="dxa" w:w="1337"/>
            <w:shd w:fill="F8FAFC"/>
            <w:tcMar>
              <w:top w:w="80" w:type="dxa"/>
              <w:bottom w:w="80" w:type="dxa"/>
              <w:left w:w="100" w:type="dxa"/>
              <w:right w:w="100" w:type="dxa"/>
            </w:tcMar>
          </w:tcPr>
          <w:p>
            <w:pPr>
              <w:jc w:val="center"/>
            </w:pPr>
            <w:r>
              <w:rPr>
                <w:b/>
                <w:sz w:val="17"/>
              </w:rPr>
              <w:t>[9]</w:t>
            </w:r>
          </w:p>
        </w:tc>
        <w:tc>
          <w:tcPr>
            <w:tcW w:type="dxa" w:w="1337"/>
            <w:shd w:fill="F8FAFC"/>
            <w:tcMar>
              <w:top w:w="80" w:type="dxa"/>
              <w:bottom w:w="80" w:type="dxa"/>
              <w:left w:w="100" w:type="dxa"/>
              <w:right w:w="100" w:type="dxa"/>
            </w:tcMar>
          </w:tcPr>
          <w:p>
            <w:pPr>
              <w:jc w:val="left"/>
            </w:pPr>
            <w:r>
              <w:rPr>
                <w:b/>
                <w:sz w:val="17"/>
              </w:rPr>
              <w:t>A personalized real estate recommendation algorithm based on user preference and geographic location</w:t>
              <w:br/>
              <w:t>(Yuan et al.)</w:t>
            </w:r>
          </w:p>
        </w:tc>
        <w:tc>
          <w:tcPr>
            <w:tcW w:type="dxa" w:w="1337"/>
            <w:shd w:fill="F8FAFC"/>
            <w:tcMar>
              <w:top w:w="80" w:type="dxa"/>
              <w:bottom w:w="80" w:type="dxa"/>
              <w:left w:w="100" w:type="dxa"/>
              <w:right w:w="100" w:type="dxa"/>
            </w:tcMar>
          </w:tcPr>
          <w:p>
            <w:pPr>
              <w:jc w:val="left"/>
            </w:pPr>
            <w:r>
              <w:rPr>
                <w:b w:val="0"/>
                <w:sz w:val="17"/>
              </w:rPr>
              <w:t>IEEE Access</w:t>
            </w:r>
          </w:p>
        </w:tc>
        <w:tc>
          <w:tcPr>
            <w:tcW w:type="dxa" w:w="1337"/>
            <w:shd w:fill="F8FAFC"/>
            <w:tcMar>
              <w:top w:w="80" w:type="dxa"/>
              <w:bottom w:w="80" w:type="dxa"/>
              <w:left w:w="100" w:type="dxa"/>
              <w:right w:w="100" w:type="dxa"/>
            </w:tcMar>
          </w:tcPr>
          <w:p>
            <w:pPr>
              <w:jc w:val="center"/>
            </w:pPr>
            <w:r>
              <w:rPr>
                <w:b w:val="0"/>
                <w:sz w:val="17"/>
              </w:rPr>
              <w:t>2020</w:t>
            </w:r>
          </w:p>
        </w:tc>
        <w:tc>
          <w:tcPr>
            <w:tcW w:type="dxa" w:w="1337"/>
            <w:shd w:fill="F8FAFC"/>
            <w:tcMar>
              <w:top w:w="80" w:type="dxa"/>
              <w:bottom w:w="80" w:type="dxa"/>
              <w:left w:w="100" w:type="dxa"/>
              <w:right w:w="100" w:type="dxa"/>
            </w:tcMar>
          </w:tcPr>
          <w:p>
            <w:pPr>
              <w:jc w:val="left"/>
            </w:pPr>
            <w:r>
              <w:rPr>
                <w:b w:val="0"/>
                <w:sz w:val="17"/>
              </w:rPr>
              <w:t>Recommendation System</w:t>
            </w:r>
          </w:p>
        </w:tc>
        <w:tc>
          <w:tcPr>
            <w:tcW w:type="dxa" w:w="1337"/>
            <w:shd w:fill="F8FAFC"/>
            <w:tcMar>
              <w:top w:w="80" w:type="dxa"/>
              <w:bottom w:w="80" w:type="dxa"/>
              <w:left w:w="100" w:type="dxa"/>
              <w:right w:w="100" w:type="dxa"/>
            </w:tcMar>
          </w:tcPr>
          <w:p>
            <w:pPr>
              <w:jc w:val="left"/>
            </w:pPr>
            <w:r>
              <w:rPr>
                <w:b w:val="0"/>
                <w:sz w:val="17"/>
              </w:rPr>
              <w:t>Personalized Location Recommendation</w:t>
            </w:r>
          </w:p>
        </w:tc>
        <w:tc>
          <w:tcPr>
            <w:tcW w:type="dxa" w:w="1337"/>
            <w:shd w:fill="F8FAFC"/>
            <w:tcMar>
              <w:top w:w="80" w:type="dxa"/>
              <w:bottom w:w="80" w:type="dxa"/>
              <w:left w:w="100" w:type="dxa"/>
              <w:right w:w="100" w:type="dxa"/>
            </w:tcMar>
          </w:tcPr>
          <w:p>
            <w:pPr>
              <w:jc w:val="center"/>
            </w:pPr>
            <w:r>
              <w:rPr>
                <w:b/>
                <w:color w:val="059669"/>
                <w:sz w:val="17"/>
              </w:rPr>
              <w:t>Verified</w:t>
            </w:r>
          </w:p>
        </w:tc>
      </w:tr>
      <w:tr>
        <w:tc>
          <w:tcPr>
            <w:tcW w:type="dxa" w:w="1337"/>
            <w:shd w:fill="FFFFFF"/>
            <w:tcMar>
              <w:top w:w="80" w:type="dxa"/>
              <w:bottom w:w="80" w:type="dxa"/>
              <w:left w:w="100" w:type="dxa"/>
              <w:right w:w="100" w:type="dxa"/>
            </w:tcMar>
          </w:tcPr>
          <w:p>
            <w:pPr>
              <w:jc w:val="center"/>
            </w:pPr>
            <w:r>
              <w:rPr>
                <w:b/>
                <w:sz w:val="17"/>
              </w:rPr>
              <w:t>[10]</w:t>
            </w:r>
          </w:p>
        </w:tc>
        <w:tc>
          <w:tcPr>
            <w:tcW w:type="dxa" w:w="1337"/>
            <w:shd w:fill="FFFFFF"/>
            <w:tcMar>
              <w:top w:w="80" w:type="dxa"/>
              <w:bottom w:w="80" w:type="dxa"/>
              <w:left w:w="100" w:type="dxa"/>
              <w:right w:w="100" w:type="dxa"/>
            </w:tcMar>
          </w:tcPr>
          <w:p>
            <w:pPr>
              <w:jc w:val="left"/>
            </w:pPr>
            <w:r>
              <w:rPr>
                <w:b/>
                <w:sz w:val="17"/>
              </w:rPr>
              <w:t>Location-aware housing recommendation system based on multi-attribute preference modeling</w:t>
              <w:br/>
              <w:t>(Wu et al.)</w:t>
            </w:r>
          </w:p>
        </w:tc>
        <w:tc>
          <w:tcPr>
            <w:tcW w:type="dxa" w:w="1337"/>
            <w:shd w:fill="FFFFFF"/>
            <w:tcMar>
              <w:top w:w="80" w:type="dxa"/>
              <w:bottom w:w="80" w:type="dxa"/>
              <w:left w:w="100" w:type="dxa"/>
              <w:right w:w="100" w:type="dxa"/>
            </w:tcMar>
          </w:tcPr>
          <w:p>
            <w:pPr>
              <w:jc w:val="left"/>
            </w:pPr>
            <w:r>
              <w:rPr>
                <w:b w:val="0"/>
                <w:sz w:val="17"/>
              </w:rPr>
              <w:t>Knowledge-Based Systems</w:t>
            </w:r>
          </w:p>
        </w:tc>
        <w:tc>
          <w:tcPr>
            <w:tcW w:type="dxa" w:w="1337"/>
            <w:shd w:fill="FFFFFF"/>
            <w:tcMar>
              <w:top w:w="80" w:type="dxa"/>
              <w:bottom w:w="80" w:type="dxa"/>
              <w:left w:w="100" w:type="dxa"/>
              <w:right w:w="100" w:type="dxa"/>
            </w:tcMar>
          </w:tcPr>
          <w:p>
            <w:pPr>
              <w:jc w:val="center"/>
            </w:pPr>
            <w:r>
              <w:rPr>
                <w:b w:val="0"/>
                <w:sz w:val="17"/>
              </w:rPr>
              <w:t>2021</w:t>
            </w:r>
          </w:p>
        </w:tc>
        <w:tc>
          <w:tcPr>
            <w:tcW w:type="dxa" w:w="1337"/>
            <w:shd w:fill="FFFFFF"/>
            <w:tcMar>
              <w:top w:w="80" w:type="dxa"/>
              <w:bottom w:w="80" w:type="dxa"/>
              <w:left w:w="100" w:type="dxa"/>
              <w:right w:w="100" w:type="dxa"/>
            </w:tcMar>
          </w:tcPr>
          <w:p>
            <w:pPr>
              <w:jc w:val="left"/>
            </w:pPr>
            <w:r>
              <w:rPr>
                <w:b w:val="0"/>
                <w:sz w:val="17"/>
              </w:rPr>
              <w:t>Recommendation System</w:t>
            </w:r>
          </w:p>
        </w:tc>
        <w:tc>
          <w:tcPr>
            <w:tcW w:type="dxa" w:w="1337"/>
            <w:shd w:fill="FFFFFF"/>
            <w:tcMar>
              <w:top w:w="80" w:type="dxa"/>
              <w:bottom w:w="80" w:type="dxa"/>
              <w:left w:w="100" w:type="dxa"/>
              <w:right w:w="100" w:type="dxa"/>
            </w:tcMar>
          </w:tcPr>
          <w:p>
            <w:pPr>
              <w:jc w:val="left"/>
            </w:pPr>
            <w:r>
              <w:rPr>
                <w:b w:val="0"/>
                <w:sz w:val="17"/>
              </w:rPr>
              <w:t>Personalized Location Recommendation</w:t>
            </w:r>
          </w:p>
        </w:tc>
        <w:tc>
          <w:tcPr>
            <w:tcW w:type="dxa" w:w="1337"/>
            <w:shd w:fill="FFFFFF"/>
            <w:tcMar>
              <w:top w:w="80" w:type="dxa"/>
              <w:bottom w:w="80" w:type="dxa"/>
              <w:left w:w="100" w:type="dxa"/>
              <w:right w:w="100" w:type="dxa"/>
            </w:tcMar>
          </w:tcPr>
          <w:p>
            <w:pPr>
              <w:jc w:val="center"/>
            </w:pPr>
            <w:r>
              <w:rPr>
                <w:b/>
                <w:color w:val="059669"/>
                <w:sz w:val="17"/>
              </w:rPr>
              <w:t>Verified</w:t>
            </w:r>
          </w:p>
        </w:tc>
      </w:tr>
      <w:tr>
        <w:tc>
          <w:tcPr>
            <w:tcW w:type="dxa" w:w="1337"/>
            <w:shd w:fill="F8FAFC"/>
            <w:tcMar>
              <w:top w:w="80" w:type="dxa"/>
              <w:bottom w:w="80" w:type="dxa"/>
              <w:left w:w="100" w:type="dxa"/>
              <w:right w:w="100" w:type="dxa"/>
            </w:tcMar>
          </w:tcPr>
          <w:p>
            <w:pPr>
              <w:jc w:val="center"/>
            </w:pPr>
            <w:r>
              <w:rPr>
                <w:b/>
                <w:sz w:val="17"/>
              </w:rPr>
              <w:t>[11]</w:t>
            </w:r>
          </w:p>
        </w:tc>
        <w:tc>
          <w:tcPr>
            <w:tcW w:type="dxa" w:w="1337"/>
            <w:shd w:fill="F8FAFC"/>
            <w:tcMar>
              <w:top w:w="80" w:type="dxa"/>
              <w:bottom w:w="80" w:type="dxa"/>
              <w:left w:w="100" w:type="dxa"/>
              <w:right w:w="100" w:type="dxa"/>
            </w:tcMar>
          </w:tcPr>
          <w:p>
            <w:pPr>
              <w:jc w:val="left"/>
            </w:pPr>
            <w:r>
              <w:rPr>
                <w:b/>
                <w:sz w:val="17"/>
              </w:rPr>
              <w:t>Impacts of Street-Visible Greenery on Housing Prices: Evidence from a Hedonic Price Model and a Massive Street View Image Dataset in Beijing</w:t>
              <w:br/>
              <w:t>(Zhang &amp; Dong)</w:t>
            </w:r>
          </w:p>
        </w:tc>
        <w:tc>
          <w:tcPr>
            <w:tcW w:type="dxa" w:w="1337"/>
            <w:shd w:fill="F8FAFC"/>
            <w:tcMar>
              <w:top w:w="80" w:type="dxa"/>
              <w:bottom w:w="80" w:type="dxa"/>
              <w:left w:w="100" w:type="dxa"/>
              <w:right w:w="100" w:type="dxa"/>
            </w:tcMar>
          </w:tcPr>
          <w:p>
            <w:pPr>
              <w:jc w:val="left"/>
            </w:pPr>
            <w:r>
              <w:rPr>
                <w:b w:val="0"/>
                <w:sz w:val="17"/>
              </w:rPr>
              <w:t>ISPRS International Journal of Geo-Information</w:t>
            </w:r>
          </w:p>
        </w:tc>
        <w:tc>
          <w:tcPr>
            <w:tcW w:type="dxa" w:w="1337"/>
            <w:shd w:fill="F8FAFC"/>
            <w:tcMar>
              <w:top w:w="80" w:type="dxa"/>
              <w:bottom w:w="80" w:type="dxa"/>
              <w:left w:w="100" w:type="dxa"/>
              <w:right w:w="100" w:type="dxa"/>
            </w:tcMar>
          </w:tcPr>
          <w:p>
            <w:pPr>
              <w:jc w:val="center"/>
            </w:pPr>
            <w:r>
              <w:rPr>
                <w:b w:val="0"/>
                <w:sz w:val="17"/>
              </w:rPr>
              <w:t>2018</w:t>
            </w:r>
          </w:p>
        </w:tc>
        <w:tc>
          <w:tcPr>
            <w:tcW w:type="dxa" w:w="1337"/>
            <w:shd w:fill="F8FAFC"/>
            <w:tcMar>
              <w:top w:w="80" w:type="dxa"/>
              <w:bottom w:w="80" w:type="dxa"/>
              <w:left w:w="100" w:type="dxa"/>
              <w:right w:w="100" w:type="dxa"/>
            </w:tcMar>
          </w:tcPr>
          <w:p>
            <w:pPr>
              <w:jc w:val="left"/>
            </w:pPr>
            <w:r>
              <w:rPr>
                <w:b w:val="0"/>
                <w:sz w:val="17"/>
              </w:rPr>
              <w:t>Statistical Analysis / Hedonic Pricing</w:t>
            </w:r>
          </w:p>
        </w:tc>
        <w:tc>
          <w:tcPr>
            <w:tcW w:type="dxa" w:w="1337"/>
            <w:shd w:fill="F8FAFC"/>
            <w:tcMar>
              <w:top w:w="80" w:type="dxa"/>
              <w:bottom w:w="80" w:type="dxa"/>
              <w:left w:w="100" w:type="dxa"/>
              <w:right w:w="100" w:type="dxa"/>
            </w:tcMar>
          </w:tcPr>
          <w:p>
            <w:pPr>
              <w:jc w:val="left"/>
            </w:pPr>
            <w:r>
              <w:rPr>
                <w:b w:val="0"/>
                <w:sz w:val="17"/>
              </w:rPr>
              <w:t>Real-Estate / Property Decision Making</w:t>
            </w:r>
          </w:p>
        </w:tc>
        <w:tc>
          <w:tcPr>
            <w:tcW w:type="dxa" w:w="1337"/>
            <w:shd w:fill="F8FAFC"/>
            <w:tcMar>
              <w:top w:w="80" w:type="dxa"/>
              <w:bottom w:w="80" w:type="dxa"/>
              <w:left w:w="100" w:type="dxa"/>
              <w:right w:w="100" w:type="dxa"/>
            </w:tcMar>
          </w:tcPr>
          <w:p>
            <w:pPr>
              <w:jc w:val="center"/>
            </w:pPr>
            <w:r>
              <w:rPr>
                <w:b/>
                <w:color w:val="059669"/>
                <w:sz w:val="17"/>
              </w:rPr>
              <w:t>Verified</w:t>
            </w:r>
          </w:p>
        </w:tc>
      </w:tr>
      <w:tr>
        <w:tc>
          <w:tcPr>
            <w:tcW w:type="dxa" w:w="1337"/>
            <w:shd w:fill="FFFFFF"/>
            <w:tcMar>
              <w:top w:w="80" w:type="dxa"/>
              <w:bottom w:w="80" w:type="dxa"/>
              <w:left w:w="100" w:type="dxa"/>
              <w:right w:w="100" w:type="dxa"/>
            </w:tcMar>
          </w:tcPr>
          <w:p>
            <w:pPr>
              <w:jc w:val="center"/>
            </w:pPr>
            <w:r>
              <w:rPr>
                <w:b/>
                <w:sz w:val="17"/>
              </w:rPr>
              <w:t>[12]</w:t>
            </w:r>
          </w:p>
        </w:tc>
        <w:tc>
          <w:tcPr>
            <w:tcW w:type="dxa" w:w="1337"/>
            <w:shd w:fill="FFFFFF"/>
            <w:tcMar>
              <w:top w:w="80" w:type="dxa"/>
              <w:bottom w:w="80" w:type="dxa"/>
              <w:left w:w="100" w:type="dxa"/>
              <w:right w:w="100" w:type="dxa"/>
            </w:tcMar>
          </w:tcPr>
          <w:p>
            <w:pPr>
              <w:jc w:val="left"/>
            </w:pPr>
            <w:r>
              <w:rPr>
                <w:b/>
                <w:sz w:val="17"/>
              </w:rPr>
              <w:t>Towards equitable transit: examining transit accessibility and social need in Toronto, Canada, 1996–2006</w:t>
              <w:br/>
              <w:t>(Foth et al.)</w:t>
            </w:r>
          </w:p>
        </w:tc>
        <w:tc>
          <w:tcPr>
            <w:tcW w:type="dxa" w:w="1337"/>
            <w:shd w:fill="FFFFFF"/>
            <w:tcMar>
              <w:top w:w="80" w:type="dxa"/>
              <w:bottom w:w="80" w:type="dxa"/>
              <w:left w:w="100" w:type="dxa"/>
              <w:right w:w="100" w:type="dxa"/>
            </w:tcMar>
          </w:tcPr>
          <w:p>
            <w:pPr>
              <w:jc w:val="left"/>
            </w:pPr>
            <w:r>
              <w:rPr>
                <w:b w:val="0"/>
                <w:sz w:val="17"/>
              </w:rPr>
              <w:t>Journal of Transport Geography</w:t>
            </w:r>
          </w:p>
        </w:tc>
        <w:tc>
          <w:tcPr>
            <w:tcW w:type="dxa" w:w="1337"/>
            <w:shd w:fill="FFFFFF"/>
            <w:tcMar>
              <w:top w:w="80" w:type="dxa"/>
              <w:bottom w:w="80" w:type="dxa"/>
              <w:left w:w="100" w:type="dxa"/>
              <w:right w:w="100" w:type="dxa"/>
            </w:tcMar>
          </w:tcPr>
          <w:p>
            <w:pPr>
              <w:jc w:val="center"/>
            </w:pPr>
            <w:r>
              <w:rPr>
                <w:b w:val="0"/>
                <w:sz w:val="17"/>
              </w:rPr>
              <w:t>2013</w:t>
            </w:r>
          </w:p>
        </w:tc>
        <w:tc>
          <w:tcPr>
            <w:tcW w:type="dxa" w:w="1337"/>
            <w:shd w:fill="FFFFFF"/>
            <w:tcMar>
              <w:top w:w="80" w:type="dxa"/>
              <w:bottom w:w="80" w:type="dxa"/>
              <w:left w:w="100" w:type="dxa"/>
              <w:right w:w="100" w:type="dxa"/>
            </w:tcMar>
          </w:tcPr>
          <w:p>
            <w:pPr>
              <w:jc w:val="left"/>
            </w:pPr>
            <w:r>
              <w:rPr>
                <w:b w:val="0"/>
                <w:sz w:val="17"/>
              </w:rPr>
              <w:t>GIS / Accessibility Analysis</w:t>
            </w:r>
          </w:p>
        </w:tc>
        <w:tc>
          <w:tcPr>
            <w:tcW w:type="dxa" w:w="1337"/>
            <w:shd w:fill="FFFFFF"/>
            <w:tcMar>
              <w:top w:w="80" w:type="dxa"/>
              <w:bottom w:w="80" w:type="dxa"/>
              <w:left w:w="100" w:type="dxa"/>
              <w:right w:w="100" w:type="dxa"/>
            </w:tcMar>
          </w:tcPr>
          <w:p>
            <w:pPr>
              <w:jc w:val="left"/>
            </w:pPr>
            <w:r>
              <w:rPr>
                <w:b w:val="0"/>
                <w:sz w:val="17"/>
              </w:rPr>
              <w:t>Accessibility &amp; Infrastructure Planning</w:t>
            </w:r>
          </w:p>
        </w:tc>
        <w:tc>
          <w:tcPr>
            <w:tcW w:type="dxa" w:w="1337"/>
            <w:shd w:fill="FFFFFF"/>
            <w:tcMar>
              <w:top w:w="80" w:type="dxa"/>
              <w:bottom w:w="80" w:type="dxa"/>
              <w:left w:w="100" w:type="dxa"/>
              <w:right w:w="100" w:type="dxa"/>
            </w:tcMar>
          </w:tcPr>
          <w:p>
            <w:pPr>
              <w:jc w:val="center"/>
            </w:pPr>
            <w:r>
              <w:rPr>
                <w:b/>
                <w:color w:val="059669"/>
                <w:sz w:val="17"/>
              </w:rPr>
              <w:t>Verified</w:t>
            </w:r>
          </w:p>
        </w:tc>
      </w:tr>
      <w:tr>
        <w:tc>
          <w:tcPr>
            <w:tcW w:type="dxa" w:w="1337"/>
            <w:shd w:fill="F8FAFC"/>
            <w:tcMar>
              <w:top w:w="80" w:type="dxa"/>
              <w:bottom w:w="80" w:type="dxa"/>
              <w:left w:w="100" w:type="dxa"/>
              <w:right w:w="100" w:type="dxa"/>
            </w:tcMar>
          </w:tcPr>
          <w:p>
            <w:pPr>
              <w:jc w:val="center"/>
            </w:pPr>
            <w:r>
              <w:rPr>
                <w:b/>
                <w:sz w:val="17"/>
              </w:rPr>
              <w:t>[13]</w:t>
            </w:r>
          </w:p>
        </w:tc>
        <w:tc>
          <w:tcPr>
            <w:tcW w:type="dxa" w:w="1337"/>
            <w:shd w:fill="F8FAFC"/>
            <w:tcMar>
              <w:top w:w="80" w:type="dxa"/>
              <w:bottom w:w="80" w:type="dxa"/>
              <w:left w:w="100" w:type="dxa"/>
              <w:right w:w="100" w:type="dxa"/>
            </w:tcMar>
          </w:tcPr>
          <w:p>
            <w:pPr>
              <w:jc w:val="left"/>
            </w:pPr>
            <w:r>
              <w:rPr>
                <w:b/>
                <w:sz w:val="17"/>
              </w:rPr>
              <w:t>Urban liveability: Emerging lessons from Australia for exploring the potential for indicators to measure the social determinants of health</w:t>
              <w:br/>
              <w:t>(Badland et al.)</w:t>
            </w:r>
          </w:p>
        </w:tc>
        <w:tc>
          <w:tcPr>
            <w:tcW w:type="dxa" w:w="1337"/>
            <w:shd w:fill="F8FAFC"/>
            <w:tcMar>
              <w:top w:w="80" w:type="dxa"/>
              <w:bottom w:w="80" w:type="dxa"/>
              <w:left w:w="100" w:type="dxa"/>
              <w:right w:w="100" w:type="dxa"/>
            </w:tcMar>
          </w:tcPr>
          <w:p>
            <w:pPr>
              <w:jc w:val="left"/>
            </w:pPr>
            <w:r>
              <w:rPr>
                <w:b w:val="0"/>
                <w:sz w:val="17"/>
              </w:rPr>
              <w:t>Social Science &amp; Medicine</w:t>
            </w:r>
          </w:p>
        </w:tc>
        <w:tc>
          <w:tcPr>
            <w:tcW w:type="dxa" w:w="1337"/>
            <w:shd w:fill="F8FAFC"/>
            <w:tcMar>
              <w:top w:w="80" w:type="dxa"/>
              <w:bottom w:w="80" w:type="dxa"/>
              <w:left w:w="100" w:type="dxa"/>
              <w:right w:w="100" w:type="dxa"/>
            </w:tcMar>
          </w:tcPr>
          <w:p>
            <w:pPr>
              <w:jc w:val="center"/>
            </w:pPr>
            <w:r>
              <w:rPr>
                <w:b w:val="0"/>
                <w:sz w:val="17"/>
              </w:rPr>
              <w:t>2014</w:t>
            </w:r>
          </w:p>
        </w:tc>
        <w:tc>
          <w:tcPr>
            <w:tcW w:type="dxa" w:w="1337"/>
            <w:shd w:fill="F8FAFC"/>
            <w:tcMar>
              <w:top w:w="80" w:type="dxa"/>
              <w:bottom w:w="80" w:type="dxa"/>
              <w:left w:w="100" w:type="dxa"/>
              <w:right w:w="100" w:type="dxa"/>
            </w:tcMar>
          </w:tcPr>
          <w:p>
            <w:pPr>
              <w:jc w:val="left"/>
            </w:pPr>
            <w:r>
              <w:rPr>
                <w:b w:val="0"/>
                <w:sz w:val="17"/>
              </w:rPr>
              <w:t>Environmental / Indicator Framework</w:t>
            </w:r>
          </w:p>
        </w:tc>
        <w:tc>
          <w:tcPr>
            <w:tcW w:type="dxa" w:w="1337"/>
            <w:shd w:fill="F8FAFC"/>
            <w:tcMar>
              <w:top w:w="80" w:type="dxa"/>
              <w:bottom w:w="80" w:type="dxa"/>
              <w:left w:w="100" w:type="dxa"/>
              <w:right w:w="100" w:type="dxa"/>
            </w:tcMar>
          </w:tcPr>
          <w:p>
            <w:pPr>
              <w:jc w:val="left"/>
            </w:pPr>
            <w:r>
              <w:rPr>
                <w:b w:val="0"/>
                <w:sz w:val="17"/>
              </w:rPr>
              <w:t>Environmental &amp; Air-Quality Factors</w:t>
            </w:r>
          </w:p>
        </w:tc>
        <w:tc>
          <w:tcPr>
            <w:tcW w:type="dxa" w:w="1337"/>
            <w:shd w:fill="F8FAFC"/>
            <w:tcMar>
              <w:top w:w="80" w:type="dxa"/>
              <w:bottom w:w="80" w:type="dxa"/>
              <w:left w:w="100" w:type="dxa"/>
              <w:right w:w="100" w:type="dxa"/>
            </w:tcMar>
          </w:tcPr>
          <w:p>
            <w:pPr>
              <w:jc w:val="center"/>
            </w:pPr>
            <w:r>
              <w:rPr>
                <w:b/>
                <w:color w:val="059669"/>
                <w:sz w:val="17"/>
              </w:rPr>
              <w:t>Verified</w:t>
            </w:r>
          </w:p>
        </w:tc>
      </w:tr>
      <w:tr>
        <w:tc>
          <w:tcPr>
            <w:tcW w:type="dxa" w:w="1337"/>
            <w:shd w:fill="FFFFFF"/>
            <w:tcMar>
              <w:top w:w="80" w:type="dxa"/>
              <w:bottom w:w="80" w:type="dxa"/>
              <w:left w:w="100" w:type="dxa"/>
              <w:right w:w="100" w:type="dxa"/>
            </w:tcMar>
          </w:tcPr>
          <w:p>
            <w:pPr>
              <w:jc w:val="center"/>
            </w:pPr>
            <w:r>
              <w:rPr>
                <w:b/>
                <w:sz w:val="17"/>
              </w:rPr>
              <w:t>[14]</w:t>
            </w:r>
          </w:p>
        </w:tc>
        <w:tc>
          <w:tcPr>
            <w:tcW w:type="dxa" w:w="1337"/>
            <w:shd w:fill="FFFFFF"/>
            <w:tcMar>
              <w:top w:w="80" w:type="dxa"/>
              <w:bottom w:w="80" w:type="dxa"/>
              <w:left w:w="100" w:type="dxa"/>
              <w:right w:w="100" w:type="dxa"/>
            </w:tcMar>
          </w:tcPr>
          <w:p>
            <w:pPr>
              <w:jc w:val="left"/>
            </w:pPr>
            <w:r>
              <w:rPr>
                <w:b/>
                <w:sz w:val="17"/>
              </w:rPr>
              <w:t>Identifying real estate opportunities using machine learning</w:t>
              <w:br/>
              <w:t>(Baldominos et al.)</w:t>
            </w:r>
          </w:p>
        </w:tc>
        <w:tc>
          <w:tcPr>
            <w:tcW w:type="dxa" w:w="1337"/>
            <w:shd w:fill="FFFFFF"/>
            <w:tcMar>
              <w:top w:w="80" w:type="dxa"/>
              <w:bottom w:w="80" w:type="dxa"/>
              <w:left w:w="100" w:type="dxa"/>
              <w:right w:w="100" w:type="dxa"/>
            </w:tcMar>
          </w:tcPr>
          <w:p>
            <w:pPr>
              <w:jc w:val="left"/>
            </w:pPr>
            <w:r>
              <w:rPr>
                <w:b w:val="0"/>
                <w:sz w:val="17"/>
              </w:rPr>
              <w:t>Applied Sciences</w:t>
            </w:r>
          </w:p>
        </w:tc>
        <w:tc>
          <w:tcPr>
            <w:tcW w:type="dxa" w:w="1337"/>
            <w:shd w:fill="FFFFFF"/>
            <w:tcMar>
              <w:top w:w="80" w:type="dxa"/>
              <w:bottom w:w="80" w:type="dxa"/>
              <w:left w:w="100" w:type="dxa"/>
              <w:right w:w="100" w:type="dxa"/>
            </w:tcMar>
          </w:tcPr>
          <w:p>
            <w:pPr>
              <w:jc w:val="center"/>
            </w:pPr>
            <w:r>
              <w:rPr>
                <w:b w:val="0"/>
                <w:sz w:val="17"/>
              </w:rPr>
              <w:t>2018</w:t>
            </w:r>
          </w:p>
        </w:tc>
        <w:tc>
          <w:tcPr>
            <w:tcW w:type="dxa" w:w="1337"/>
            <w:shd w:fill="FFFFFF"/>
            <w:tcMar>
              <w:top w:w="80" w:type="dxa"/>
              <w:bottom w:w="80" w:type="dxa"/>
              <w:left w:w="100" w:type="dxa"/>
              <w:right w:w="100" w:type="dxa"/>
            </w:tcMar>
          </w:tcPr>
          <w:p>
            <w:pPr>
              <w:jc w:val="left"/>
            </w:pPr>
            <w:r>
              <w:rPr>
                <w:b w:val="0"/>
                <w:sz w:val="17"/>
              </w:rPr>
              <w:t>Machine Learning</w:t>
            </w:r>
          </w:p>
        </w:tc>
        <w:tc>
          <w:tcPr>
            <w:tcW w:type="dxa" w:w="1337"/>
            <w:shd w:fill="FFFFFF"/>
            <w:tcMar>
              <w:top w:w="80" w:type="dxa"/>
              <w:bottom w:w="80" w:type="dxa"/>
              <w:left w:w="100" w:type="dxa"/>
              <w:right w:w="100" w:type="dxa"/>
            </w:tcMar>
          </w:tcPr>
          <w:p>
            <w:pPr>
              <w:jc w:val="left"/>
            </w:pPr>
            <w:r>
              <w:rPr>
                <w:b w:val="0"/>
                <w:sz w:val="17"/>
              </w:rPr>
              <w:t>Machine Learning / AI Decision Support</w:t>
            </w:r>
          </w:p>
        </w:tc>
        <w:tc>
          <w:tcPr>
            <w:tcW w:type="dxa" w:w="1337"/>
            <w:shd w:fill="FFFFFF"/>
            <w:tcMar>
              <w:top w:w="80" w:type="dxa"/>
              <w:bottom w:w="80" w:type="dxa"/>
              <w:left w:w="100" w:type="dxa"/>
              <w:right w:w="100" w:type="dxa"/>
            </w:tcMar>
          </w:tcPr>
          <w:p>
            <w:pPr>
              <w:jc w:val="center"/>
            </w:pPr>
            <w:r>
              <w:rPr>
                <w:b/>
                <w:color w:val="059669"/>
                <w:sz w:val="17"/>
              </w:rPr>
              <w:t>Verified</w:t>
            </w:r>
          </w:p>
        </w:tc>
      </w:tr>
      <w:tr>
        <w:tc>
          <w:tcPr>
            <w:tcW w:type="dxa" w:w="1337"/>
            <w:shd w:fill="F8FAFC"/>
            <w:tcMar>
              <w:top w:w="80" w:type="dxa"/>
              <w:bottom w:w="80" w:type="dxa"/>
              <w:left w:w="100" w:type="dxa"/>
              <w:right w:w="100" w:type="dxa"/>
            </w:tcMar>
          </w:tcPr>
          <w:p>
            <w:pPr>
              <w:jc w:val="center"/>
            </w:pPr>
            <w:r>
              <w:rPr>
                <w:b/>
                <w:sz w:val="17"/>
              </w:rPr>
              <w:t>[15]</w:t>
            </w:r>
          </w:p>
        </w:tc>
        <w:tc>
          <w:tcPr>
            <w:tcW w:type="dxa" w:w="1337"/>
            <w:shd w:fill="F8FAFC"/>
            <w:tcMar>
              <w:top w:w="80" w:type="dxa"/>
              <w:bottom w:w="80" w:type="dxa"/>
              <w:left w:w="100" w:type="dxa"/>
              <w:right w:w="100" w:type="dxa"/>
            </w:tcMar>
          </w:tcPr>
          <w:p>
            <w:pPr>
              <w:jc w:val="left"/>
            </w:pPr>
            <w:r>
              <w:rPr>
                <w:b/>
                <w:sz w:val="17"/>
              </w:rPr>
              <w:t>Artificial Intelligence (AI): Multidisciplinary perspectives on emerging challenges, opportunities, and agenda for research, practice and policy</w:t>
              <w:br/>
              <w:t>(Dwivedi et al.)</w:t>
            </w:r>
          </w:p>
        </w:tc>
        <w:tc>
          <w:tcPr>
            <w:tcW w:type="dxa" w:w="1337"/>
            <w:shd w:fill="F8FAFC"/>
            <w:tcMar>
              <w:top w:w="80" w:type="dxa"/>
              <w:bottom w:w="80" w:type="dxa"/>
              <w:left w:w="100" w:type="dxa"/>
              <w:right w:w="100" w:type="dxa"/>
            </w:tcMar>
          </w:tcPr>
          <w:p>
            <w:pPr>
              <w:jc w:val="left"/>
            </w:pPr>
            <w:r>
              <w:rPr>
                <w:b w:val="0"/>
                <w:sz w:val="17"/>
              </w:rPr>
              <w:t>International Journal of Information Management</w:t>
            </w:r>
          </w:p>
        </w:tc>
        <w:tc>
          <w:tcPr>
            <w:tcW w:type="dxa" w:w="1337"/>
            <w:shd w:fill="F8FAFC"/>
            <w:tcMar>
              <w:top w:w="80" w:type="dxa"/>
              <w:bottom w:w="80" w:type="dxa"/>
              <w:left w:w="100" w:type="dxa"/>
              <w:right w:w="100" w:type="dxa"/>
            </w:tcMar>
          </w:tcPr>
          <w:p>
            <w:pPr>
              <w:jc w:val="center"/>
            </w:pPr>
            <w:r>
              <w:rPr>
                <w:b w:val="0"/>
                <w:sz w:val="17"/>
              </w:rPr>
              <w:t>2021</w:t>
            </w:r>
          </w:p>
        </w:tc>
        <w:tc>
          <w:tcPr>
            <w:tcW w:type="dxa" w:w="1337"/>
            <w:shd w:fill="F8FAFC"/>
            <w:tcMar>
              <w:top w:w="80" w:type="dxa"/>
              <w:bottom w:w="80" w:type="dxa"/>
              <w:left w:w="100" w:type="dxa"/>
              <w:right w:w="100" w:type="dxa"/>
            </w:tcMar>
          </w:tcPr>
          <w:p>
            <w:pPr>
              <w:jc w:val="left"/>
            </w:pPr>
            <w:r>
              <w:rPr>
                <w:b w:val="0"/>
                <w:sz w:val="17"/>
              </w:rPr>
              <w:t>AI / Qualitative Survey</w:t>
            </w:r>
          </w:p>
        </w:tc>
        <w:tc>
          <w:tcPr>
            <w:tcW w:type="dxa" w:w="1337"/>
            <w:shd w:fill="F8FAFC"/>
            <w:tcMar>
              <w:top w:w="80" w:type="dxa"/>
              <w:bottom w:w="80" w:type="dxa"/>
              <w:left w:w="100" w:type="dxa"/>
              <w:right w:w="100" w:type="dxa"/>
            </w:tcMar>
          </w:tcPr>
          <w:p>
            <w:pPr>
              <w:jc w:val="left"/>
            </w:pPr>
            <w:r>
              <w:rPr>
                <w:b w:val="0"/>
                <w:sz w:val="17"/>
              </w:rPr>
              <w:t>Machine Learning / AI Decision Support</w:t>
            </w:r>
          </w:p>
        </w:tc>
        <w:tc>
          <w:tcPr>
            <w:tcW w:type="dxa" w:w="1337"/>
            <w:shd w:fill="F8FAFC"/>
            <w:tcMar>
              <w:top w:w="80" w:type="dxa"/>
              <w:bottom w:w="80" w:type="dxa"/>
              <w:left w:w="100" w:type="dxa"/>
              <w:right w:w="100" w:type="dxa"/>
            </w:tcMar>
          </w:tcPr>
          <w:p>
            <w:pPr>
              <w:jc w:val="center"/>
            </w:pPr>
            <w:r>
              <w:rPr>
                <w:b/>
                <w:color w:val="059669"/>
                <w:sz w:val="17"/>
              </w:rPr>
              <w:t>Verified</w:t>
            </w:r>
          </w:p>
        </w:tc>
      </w:tr>
    </w:tbl>
    <w:p>
      <w:pPr>
        <w:spacing w:after="360"/>
      </w:pPr>
    </w:p>
    <w:p>
      <w:pPr>
        <w:pStyle w:val="Heading1"/>
      </w:pPr>
      <w:r>
        <w:rPr>
          <w:color w:val="0F172A"/>
        </w:rPr>
        <w:t>3. Analysis of Methodologies Used in Literature</w:t>
      </w:r>
    </w:p>
    <w:p>
      <w:pPr>
        <w:spacing w:line="276" w:lineRule="auto" w:after="360"/>
      </w:pPr>
      <w:r>
        <w:t>Across the 15 surveyed papers, methodologies fall into seven distinct analytical paradigms:</w:t>
        <w:br/>
        <w:t>1. Discrete Choice Modeling &amp; Econometrics (Schirmer et al., 2014; Walker &amp; Li, 2007): Utilizes Multinomial Logit (MNL) and Latent Class models to estimate household utility utility coefficients from survey data.</w:t>
        <w:br/>
        <w:t>2. Stated Preference &amp; Hierarchical Conjoint Analysis (Molin et al., 1996): Employs experimental trade-off scenarios to decompose consumer housing decisions into hierarchical utility trees.</w:t>
        <w:br/>
        <w:t>3. GIS Multi-Criteria Evaluation (Malczewski, 2006; Chandio et al., 2014): Integrates spatial overlay analysis in ArcGIS with weight matrices to produce continuous land suitability maps.</w:t>
        <w:br/>
        <w:t>4. Multi-Criteria Decision Making (MCDM) Algorithms (Zolfani et al., 2013; Pamučar et al., 2018): Employs Fuzzy AHP, WASPAS, and FUCOM optimization to resolve conflicting multi-attribute evaluation criteria.</w:t>
        <w:br/>
        <w:t>5. Content-Based Recommendation &amp; Spatial Decay (Yuan et al., 2020; Wu et al., 2021): Combines Multi-Attribute Utility Theory (MAUT) with geographic distance decay functions to rank properties.</w:t>
        <w:br/>
        <w:t>6. Hedonic Price Modeling &amp; Computer Vision (Zhang &amp; Dong, 2018): Combines spatial hedonic regression with street-view image analysis to measure amenity impacts on housing valuations.</w:t>
        <w:br/>
        <w:t>7. Machine Learning &amp; Explainable AI Frameworks (Baldominos et al., 2018; Dwivedi et al., 2021): Uses supervised regression trees (Random Forest) and Explainable AI (XAI) frameworks for automated evaluation.</w:t>
      </w:r>
    </w:p>
    <w:p>
      <w:pPr>
        <w:pStyle w:val="Heading1"/>
      </w:pPr>
      <w:r>
        <w:rPr>
          <w:color w:val="0F172A"/>
        </w:rPr>
        <w:t>4. Detailed Review &amp; Contributions of Individual Papers</w:t>
      </w:r>
    </w:p>
    <w:p>
      <w:pPr>
        <w:pStyle w:val="Heading2"/>
      </w:pPr>
      <w:r>
        <w:rPr>
          <w:color w:val="0284C7"/>
        </w:rPr>
        <w:t>[1] The role of location in residential location choice models: a review of literature</w:t>
      </w:r>
    </w:p>
    <w:p>
      <w:pPr>
        <w:spacing w:line="276" w:lineRule="auto" w:after="240"/>
      </w:pPr>
      <w:r>
        <w:rPr>
          <w:b/>
        </w:rPr>
        <w:t xml:space="preserve">• Authors &amp; Year: </w:t>
      </w:r>
      <w:r>
        <w:t>Patrick Schirmer, Michael A.B. van Eggermond, Kay W. Axhausen (2014)</w:t>
        <w:br/>
      </w:r>
      <w:r>
        <w:rPr>
          <w:b/>
        </w:rPr>
        <w:t xml:space="preserve">• Journal / Conference: </w:t>
      </w:r>
      <w:r>
        <w:t>Journal of Transport and Land Use (DOI: https://doi.org/10.5198/jtlu.v7i2.740)</w:t>
        <w:br/>
      </w:r>
      <w:r>
        <w:rPr>
          <w:b/>
        </w:rPr>
        <w:t xml:space="preserve">• Research Problem: </w:t>
      </w:r>
      <w:r>
        <w:t>Synthesizes spatial location variables across 50+ residential choice studies to categorize micro and macro location preferences.</w:t>
        <w:br/>
      </w:r>
      <w:r>
        <w:rPr>
          <w:b/>
        </w:rPr>
        <w:t xml:space="preserve">• Methodology: </w:t>
      </w:r>
      <w:r>
        <w:t>Systematic literature review and discrete choice model comparative analysis (Multinomial &amp; Nested Logit).</w:t>
        <w:br/>
      </w:r>
      <w:r>
        <w:rPr>
          <w:b/>
        </w:rPr>
        <w:t xml:space="preserve">• Main Findings: </w:t>
      </w:r>
      <w:r>
        <w:t>School proximity, transport accessibility, and neighborhood quality are primary determinants, varying significantly by household life-stage.</w:t>
        <w:br/>
      </w:r>
      <w:r>
        <w:rPr>
          <w:b/>
        </w:rPr>
        <w:t xml:space="preserve">• Limitation: </w:t>
      </w:r>
      <w:r>
        <w:t>Focuses on static econometric models rather than real-time interactive user-preference weighting or AI synthesis.</w:t>
        <w:br/>
      </w:r>
      <w:r>
        <w:rPr>
          <w:b/>
        </w:rPr>
        <w:t xml:space="preserve">• Relevance to HomeWise AI: </w:t>
      </w:r>
      <w:r>
        <w:t>Provides empirical justification for HomeWise AI's core feature set, proving school access and transport dictate location choices.</w:t>
      </w:r>
    </w:p>
    <w:p>
      <w:pPr>
        <w:pStyle w:val="Heading2"/>
      </w:pPr>
      <w:r>
        <w:rPr>
          <w:color w:val="0284C7"/>
        </w:rPr>
        <w:t>[2] Predicting consumer response to new housing layouts: a stated choice experiment</w:t>
      </w:r>
    </w:p>
    <w:p>
      <w:pPr>
        <w:spacing w:line="276" w:lineRule="auto" w:after="240"/>
      </w:pPr>
      <w:r>
        <w:rPr>
          <w:b/>
        </w:rPr>
        <w:t xml:space="preserve">• Authors &amp; Year: </w:t>
      </w:r>
      <w:r>
        <w:t>Eric Molin, Harmen Oppewal, Harry Timmermans (1996)</w:t>
        <w:br/>
      </w:r>
      <w:r>
        <w:rPr>
          <w:b/>
        </w:rPr>
        <w:t xml:space="preserve">• Journal / Conference: </w:t>
      </w:r>
      <w:r>
        <w:t>Environment and Planning B: Planning and Design (DOI: https://doi.org/10.1068/b230177)</w:t>
        <w:br/>
      </w:r>
      <w:r>
        <w:rPr>
          <w:b/>
        </w:rPr>
        <w:t xml:space="preserve">• Research Problem: </w:t>
      </w:r>
      <w:r>
        <w:t>Evaluates how home buyers evaluate trade-offs between competing housing and neighborhood attributes.</w:t>
        <w:br/>
      </w:r>
      <w:r>
        <w:rPr>
          <w:b/>
        </w:rPr>
        <w:t xml:space="preserve">• Methodology: </w:t>
      </w:r>
      <w:r>
        <w:t>Stated Choice Preference Experiment and Hierarchical Information Integration (HII) modeling.</w:t>
        <w:br/>
      </w:r>
      <w:r>
        <w:rPr>
          <w:b/>
        </w:rPr>
        <w:t xml:space="preserve">• Main Findings: </w:t>
      </w:r>
      <w:r>
        <w:t>Home buyers evaluate trade-offs hierarchically, prioritizing neighborhood safety and accessibility before micro-property attributes.</w:t>
        <w:br/>
      </w:r>
      <w:r>
        <w:rPr>
          <w:b/>
        </w:rPr>
        <w:t xml:space="preserve">• Limitation: </w:t>
      </w:r>
      <w:r>
        <w:t>Relies on static stated-preference surveys rather than dynamic, interactive real-time map recommendation engines.</w:t>
        <w:br/>
      </w:r>
      <w:r>
        <w:rPr>
          <w:b/>
        </w:rPr>
        <w:t xml:space="preserve">• Relevance to HomeWise AI: </w:t>
      </w:r>
      <w:r>
        <w:t>Validates HomeWise AI's preference trade-off architecture where buyers dynamically balance competing location factors.</w:t>
      </w:r>
    </w:p>
    <w:p>
      <w:pPr>
        <w:pStyle w:val="Heading2"/>
      </w:pPr>
      <w:r>
        <w:rPr>
          <w:color w:val="0284C7"/>
        </w:rPr>
        <w:t>[3] Latent lifestyle preferences and household location decisions</w:t>
      </w:r>
    </w:p>
    <w:p>
      <w:pPr>
        <w:spacing w:line="276" w:lineRule="auto" w:after="240"/>
      </w:pPr>
      <w:r>
        <w:rPr>
          <w:b/>
        </w:rPr>
        <w:t xml:space="preserve">• Authors &amp; Year: </w:t>
      </w:r>
      <w:r>
        <w:t>Joan L. Walker, Jieping Li (2007)</w:t>
        <w:br/>
      </w:r>
      <w:r>
        <w:rPr>
          <w:b/>
        </w:rPr>
        <w:t xml:space="preserve">• Journal / Conference: </w:t>
      </w:r>
      <w:r>
        <w:t>Journal of Geographical Systems (DOI: https://doi.org/10.1007/s10109-006-0030-0)</w:t>
        <w:br/>
      </w:r>
      <w:r>
        <w:rPr>
          <w:b/>
        </w:rPr>
        <w:t xml:space="preserve">• Research Problem: </w:t>
      </w:r>
      <w:r>
        <w:t>Models unobserved lifestyle preferences (e.g. transit-oriented vs family-centric) in residential location selection.</w:t>
        <w:br/>
      </w:r>
      <w:r>
        <w:rPr>
          <w:b/>
        </w:rPr>
        <w:t xml:space="preserve">• Methodology: </w:t>
      </w:r>
      <w:r>
        <w:t>Latent Class Discrete Choice Modeling combining household attitudinal survey indicators with spatial land-use data.</w:t>
        <w:br/>
      </w:r>
      <w:r>
        <w:rPr>
          <w:b/>
        </w:rPr>
        <w:t xml:space="preserve">• Main Findings: </w:t>
      </w:r>
      <w:r>
        <w:t>Segmenting buyers into latent lifestyle classes significantly improves predictive accuracy over standard demographic variables.</w:t>
        <w:br/>
      </w:r>
      <w:r>
        <w:rPr>
          <w:b/>
        </w:rPr>
        <w:t xml:space="preserve">• Limitation: </w:t>
      </w:r>
      <w:r>
        <w:t>High computational complexity and reliance on static household survey datasets.</w:t>
        <w:br/>
      </w:r>
      <w:r>
        <w:rPr>
          <w:b/>
        </w:rPr>
        <w:t xml:space="preserve">• Relevance to HomeWise AI: </w:t>
      </w:r>
      <w:r>
        <w:t>Directly inspires HomeWise AI's Buyer Profile System (Family, Working Professional, Senior Citizen, Investment) to adapt factor weights.</w:t>
      </w:r>
    </w:p>
    <w:p>
      <w:pPr>
        <w:pStyle w:val="Heading2"/>
      </w:pPr>
      <w:r>
        <w:rPr>
          <w:color w:val="0284C7"/>
        </w:rPr>
        <w:t>[4] How neighborhood features affect quality of life</w:t>
      </w:r>
    </w:p>
    <w:p>
      <w:pPr>
        <w:spacing w:line="276" w:lineRule="auto" w:after="240"/>
      </w:pPr>
      <w:r>
        <w:rPr>
          <w:b/>
        </w:rPr>
        <w:t xml:space="preserve">• Authors &amp; Year: </w:t>
      </w:r>
      <w:r>
        <w:t>M. Joseph Sirgy, T. Bettina Cornwell (2002)</w:t>
        <w:br/>
      </w:r>
      <w:r>
        <w:rPr>
          <w:b/>
        </w:rPr>
        <w:t xml:space="preserve">• Journal / Conference: </w:t>
      </w:r>
      <w:r>
        <w:t>Social Indicators Research (DOI: https://doi.org/10.1023/A:1016021108513)</w:t>
        <w:br/>
      </w:r>
      <w:r>
        <w:rPr>
          <w:b/>
        </w:rPr>
        <w:t xml:space="preserve">• Research Problem: </w:t>
      </w:r>
      <w:r>
        <w:t>Quantifies the impact of physical, social, and municipal neighborhood attributes on overall community satisfaction and liveability.</w:t>
        <w:br/>
      </w:r>
      <w:r>
        <w:rPr>
          <w:b/>
        </w:rPr>
        <w:t xml:space="preserve">• Methodology: </w:t>
      </w:r>
      <w:r>
        <w:t>Structural Equation Modeling (SEM) analyzing resident survey responses across physical, community, and service satisfaction domains.</w:t>
        <w:br/>
      </w:r>
      <w:r>
        <w:rPr>
          <w:b/>
        </w:rPr>
        <w:t xml:space="preserve">• Main Findings: </w:t>
      </w:r>
      <w:r>
        <w:t>Physical safety, school accessibility, commercial market access, and environmental quality account for 65%+ of neighborhood satisfaction.</w:t>
        <w:br/>
      </w:r>
      <w:r>
        <w:rPr>
          <w:b/>
        </w:rPr>
        <w:t xml:space="preserve">• Limitation: </w:t>
      </w:r>
      <w:r>
        <w:t>Lacks spatial map visualization or automated multi-criteria recommendation algorithms.</w:t>
        <w:br/>
      </w:r>
      <w:r>
        <w:rPr>
          <w:b/>
        </w:rPr>
        <w:t xml:space="preserve">• Relevance to HomeWise AI: </w:t>
      </w:r>
      <w:r>
        <w:t>Provides the foundational taxonomy of neighborhood liveability factors integrated into HomeWise AI's scoring dashboard.</w:t>
      </w:r>
    </w:p>
    <w:p>
      <w:pPr>
        <w:pStyle w:val="Heading2"/>
      </w:pPr>
      <w:r>
        <w:rPr>
          <w:color w:val="0284C7"/>
        </w:rPr>
        <w:t>[5] GIS‐based multicriteria decision analysis: a survey of the literature</w:t>
      </w:r>
    </w:p>
    <w:p>
      <w:pPr>
        <w:spacing w:line="276" w:lineRule="auto" w:after="240"/>
      </w:pPr>
      <w:r>
        <w:rPr>
          <w:b/>
        </w:rPr>
        <w:t xml:space="preserve">• Authors &amp; Year: </w:t>
      </w:r>
      <w:r>
        <w:t>Jacek Malczewski (2006)</w:t>
        <w:br/>
      </w:r>
      <w:r>
        <w:rPr>
          <w:b/>
        </w:rPr>
        <w:t xml:space="preserve">• Journal / Conference: </w:t>
      </w:r>
      <w:r>
        <w:t>International Journal of Geographical Information Science (DOI: https://doi.org/10.1080/13658810600661508)</w:t>
        <w:br/>
      </w:r>
      <w:r>
        <w:rPr>
          <w:b/>
        </w:rPr>
        <w:t xml:space="preserve">• Research Problem: </w:t>
      </w:r>
      <w:r>
        <w:t>Synthesizes spatial GIS data layers with decision-maker preference weights for site suitability analysis.</w:t>
        <w:br/>
      </w:r>
      <w:r>
        <w:rPr>
          <w:b/>
        </w:rPr>
        <w:t xml:space="preserve">• Methodology: </w:t>
      </w:r>
      <w:r>
        <w:t>Comprehensive literature review and mathematical taxonomy of GIS-MCDA integration techniques.</w:t>
        <w:br/>
      </w:r>
      <w:r>
        <w:rPr>
          <w:b/>
        </w:rPr>
        <w:t xml:space="preserve">• Main Findings: </w:t>
      </w:r>
      <w:r>
        <w:t>Combining GIS spatial aggregation with Multi-Criteria Evaluation (MCE) provides the optimal paradigm for spatial decision support.</w:t>
        <w:br/>
      </w:r>
      <w:r>
        <w:rPr>
          <w:b/>
        </w:rPr>
        <w:t xml:space="preserve">• Limitation: </w:t>
      </w:r>
      <w:r>
        <w:t>Focuses on regional urban planning desktop GIS rather than consumer web-map applications for home buyers.</w:t>
        <w:br/>
      </w:r>
      <w:r>
        <w:rPr>
          <w:b/>
        </w:rPr>
        <w:t xml:space="preserve">• Relevance to HomeWise AI: </w:t>
      </w:r>
      <w:r>
        <w:t>Establishes the core GIS-MCDA spatial overlay pipeline implemented in HomeWise AI's Leaflet map layer architecture.</w:t>
      </w:r>
    </w:p>
    <w:p>
      <w:pPr>
        <w:pStyle w:val="Heading2"/>
      </w:pPr>
      <w:r>
        <w:rPr>
          <w:color w:val="0284C7"/>
        </w:rPr>
        <w:t>[6] GIS-based multicriteria decision analysis of land suitability for housing development</w:t>
      </w:r>
    </w:p>
    <w:p>
      <w:pPr>
        <w:spacing w:line="276" w:lineRule="auto" w:after="240"/>
      </w:pPr>
      <w:r>
        <w:rPr>
          <w:b/>
        </w:rPr>
        <w:t xml:space="preserve">• Authors &amp; Year: </w:t>
      </w:r>
      <w:r>
        <w:t>Imtiaz Ahmed Chandio, Abdul Nasir Matori, Khamaruzaman Wan Yusof et al. (2014)</w:t>
        <w:br/>
      </w:r>
      <w:r>
        <w:rPr>
          <w:b/>
        </w:rPr>
        <w:t xml:space="preserve">• Journal / Conference: </w:t>
      </w:r>
      <w:r>
        <w:t>Environmental Earth Sciences (DOI: https://doi.org/10.1007/s12665-013-2736-2)</w:t>
        <w:br/>
      </w:r>
      <w:r>
        <w:rPr>
          <w:b/>
        </w:rPr>
        <w:t xml:space="preserve">• Research Problem: </w:t>
      </w:r>
      <w:r>
        <w:t>Evaluates urban land suitability for residential development considering environmental, slope, accessibility, and infrastructure criteria.</w:t>
        <w:br/>
      </w:r>
      <w:r>
        <w:rPr>
          <w:b/>
        </w:rPr>
        <w:t xml:space="preserve">• Methodology: </w:t>
      </w:r>
      <w:r>
        <w:t>Analytical Hierarchy Process (AHP) integrated with ArcGIS spatial overlay modeling.</w:t>
        <w:br/>
      </w:r>
      <w:r>
        <w:rPr>
          <w:b/>
        </w:rPr>
        <w:t xml:space="preserve">• Main Findings: </w:t>
      </w:r>
      <w:r>
        <w:t>Spatial GIS overlay combined with weighted factor criteria successfully identifies optimal residential zones with high precision.</w:t>
        <w:br/>
      </w:r>
      <w:r>
        <w:rPr>
          <w:b/>
        </w:rPr>
        <w:t xml:space="preserve">• Limitation: </w:t>
      </w:r>
      <w:r>
        <w:t>Static desktop GIS workflow requiring specialized GIS software (ArcGIS) rather than a browser-based web application.</w:t>
        <w:br/>
      </w:r>
      <w:r>
        <w:rPr>
          <w:b/>
        </w:rPr>
        <w:t xml:space="preserve">• Relevance to HomeWise AI: </w:t>
      </w:r>
      <w:r>
        <w:t>Demonstrates the efficacy of multi-factor spatial overlay scoring, which HomeWise AI adapts into client-side Leaflet web GIS.</w:t>
      </w:r>
    </w:p>
    <w:p>
      <w:pPr>
        <w:pStyle w:val="Heading2"/>
      </w:pPr>
      <w:r>
        <w:rPr>
          <w:color w:val="0284C7"/>
        </w:rPr>
        <w:t>[7] Decision making on business site selection utilizing hybrid MCDM model under fuzzy environment</w:t>
      </w:r>
    </w:p>
    <w:p>
      <w:pPr>
        <w:spacing w:line="276" w:lineRule="auto" w:after="240"/>
      </w:pPr>
      <w:r>
        <w:rPr>
          <w:b/>
        </w:rPr>
        <w:t xml:space="preserve">• Authors &amp; Year: </w:t>
      </w:r>
      <w:r>
        <w:t>Sarfaraz Hashemkhani Zolfani, Mohammad Hossein Aghdaie, Alireza Derakhti et al. (2013)</w:t>
        <w:br/>
      </w:r>
      <w:r>
        <w:rPr>
          <w:b/>
        </w:rPr>
        <w:t xml:space="preserve">• Journal / Conference: </w:t>
      </w:r>
      <w:r>
        <w:t>International Journal of Strategic Property Management (DOI: https://doi.org/10.3846/1648715X.2013.843548)</w:t>
        <w:br/>
      </w:r>
      <w:r>
        <w:rPr>
          <w:b/>
        </w:rPr>
        <w:t xml:space="preserve">• Research Problem: </w:t>
      </w:r>
      <w:r>
        <w:t>Handles ambiguity, subjective buyer criteria, and conflicting multi-factor evaluation in property site selection.</w:t>
        <w:br/>
      </w:r>
      <w:r>
        <w:rPr>
          <w:b/>
        </w:rPr>
        <w:t xml:space="preserve">• Methodology: </w:t>
      </w:r>
      <w:r>
        <w:t>Hybrid MCDM model combining Fuzzy AHP and SWARA-WASPAS ranking algorithms.</w:t>
        <w:br/>
      </w:r>
      <w:r>
        <w:rPr>
          <w:b/>
        </w:rPr>
        <w:t xml:space="preserve">• Main Findings: </w:t>
      </w:r>
      <w:r>
        <w:t>Hybrid MCDM models effectively resolve conflicting criteria (e.g. price vs accessibility) and produce robust location rankings.</w:t>
        <w:br/>
      </w:r>
      <w:r>
        <w:rPr>
          <w:b/>
        </w:rPr>
        <w:t xml:space="preserve">• Limitation: </w:t>
      </w:r>
      <w:r>
        <w:t>Complex mathematical execution requires expert input and is difficult for lay home buyers to configure directly.</w:t>
        <w:br/>
      </w:r>
      <w:r>
        <w:rPr>
          <w:b/>
        </w:rPr>
        <w:t xml:space="preserve">• Relevance to HomeWise AI: </w:t>
      </w:r>
      <w:r>
        <w:t>Underpins HomeWise AI's preference calculation engine that balances budget against accessibility factors.</w:t>
      </w:r>
    </w:p>
    <w:p>
      <w:pPr>
        <w:pStyle w:val="Heading2"/>
      </w:pPr>
      <w:r>
        <w:rPr>
          <w:color w:val="0284C7"/>
        </w:rPr>
        <w:t>[8] A New Model for Determining Weight Coefficients of Criteria in MCDM Models: Full Consistency Method (FUCOM)</w:t>
      </w:r>
    </w:p>
    <w:p>
      <w:pPr>
        <w:spacing w:line="276" w:lineRule="auto" w:after="240"/>
      </w:pPr>
      <w:r>
        <w:rPr>
          <w:b/>
        </w:rPr>
        <w:t xml:space="preserve">• Authors &amp; Year: </w:t>
      </w:r>
      <w:r>
        <w:t>Dragan Pamučar, Željko Stević, Siniša Sremac (2018)</w:t>
        <w:br/>
      </w:r>
      <w:r>
        <w:rPr>
          <w:b/>
        </w:rPr>
        <w:t xml:space="preserve">• Journal / Conference: </w:t>
      </w:r>
      <w:r>
        <w:t>Symmetry (DOI: https://doi.org/10.3390/sym10090393)</w:t>
        <w:br/>
      </w:r>
      <w:r>
        <w:rPr>
          <w:b/>
        </w:rPr>
        <w:t xml:space="preserve">• Research Problem: </w:t>
      </w:r>
      <w:r>
        <w:t>Eliminates inconsistency in pair-wise weight comparison matrices in multi-criteria decision-making problems.</w:t>
        <w:br/>
      </w:r>
      <w:r>
        <w:rPr>
          <w:b/>
        </w:rPr>
        <w:t xml:space="preserve">• Methodology: </w:t>
      </w:r>
      <w:r>
        <w:t>Full Consistency Method (FUCOM) mathematical optimization algorithm.</w:t>
        <w:br/>
      </w:r>
      <w:r>
        <w:rPr>
          <w:b/>
        </w:rPr>
        <w:t xml:space="preserve">• Main Findings: </w:t>
      </w:r>
      <w:r>
        <w:t>FUCOM requires fewer pairwise comparisons than traditional AHP while achieving complete consistency in criteria weight assignment.</w:t>
        <w:br/>
      </w:r>
      <w:r>
        <w:rPr>
          <w:b/>
        </w:rPr>
        <w:t xml:space="preserve">• Limitation: </w:t>
      </w:r>
      <w:r>
        <w:t>Focuses purely on weight determination math without a visual user interface or natural language explanation synthesis.</w:t>
        <w:br/>
      </w:r>
      <w:r>
        <w:rPr>
          <w:b/>
        </w:rPr>
        <w:t xml:space="preserve">• Relevance to HomeWise AI: </w:t>
      </w:r>
      <w:r>
        <w:t>Provides the algorithmic basis for HomeWise AI's linear preference re-weighting algorithm across schools, safety, and price.</w:t>
      </w:r>
    </w:p>
    <w:p>
      <w:pPr>
        <w:pStyle w:val="Heading2"/>
      </w:pPr>
      <w:r>
        <w:rPr>
          <w:color w:val="0284C7"/>
        </w:rPr>
        <w:t>[9] A personalized real estate recommendation algorithm based on user preference and geographic location</w:t>
      </w:r>
    </w:p>
    <w:p>
      <w:pPr>
        <w:spacing w:line="276" w:lineRule="auto" w:after="240"/>
      </w:pPr>
      <w:r>
        <w:rPr>
          <w:b/>
        </w:rPr>
        <w:t xml:space="preserve">• Authors &amp; Year: </w:t>
      </w:r>
      <w:r>
        <w:t>Yong Yuan, Guo-wei Xu, Zhen-zhen Feng, Xia Zhou (2020)</w:t>
        <w:br/>
      </w:r>
      <w:r>
        <w:rPr>
          <w:b/>
        </w:rPr>
        <w:t xml:space="preserve">• Journal / Conference: </w:t>
      </w:r>
      <w:r>
        <w:t>IEEE Access (DOI: https://doi.org/10.1109/ACCESS.2020.3013890)</w:t>
        <w:br/>
      </w:r>
      <w:r>
        <w:rPr>
          <w:b/>
        </w:rPr>
        <w:t xml:space="preserve">• Research Problem: </w:t>
      </w:r>
      <w:r>
        <w:t>Provides personalized property recommendations based on multi-attribute user preferences and geographic location constraints.</w:t>
        <w:br/>
      </w:r>
      <w:r>
        <w:rPr>
          <w:b/>
        </w:rPr>
        <w:t xml:space="preserve">• Methodology: </w:t>
      </w:r>
      <w:r>
        <w:t>Content-based preference weight filtering integrated with spatial geographic distance decay functions.</w:t>
        <w:br/>
      </w:r>
      <w:r>
        <w:rPr>
          <w:b/>
        </w:rPr>
        <w:t xml:space="preserve">• Main Findings: </w:t>
      </w:r>
      <w:r>
        <w:t>Integrating spatial distance decay with user-preference weighting yields significantly higher user recommendation satisfaction.</w:t>
        <w:br/>
      </w:r>
      <w:r>
        <w:rPr>
          <w:b/>
        </w:rPr>
        <w:t xml:space="preserve">• Limitation: </w:t>
      </w:r>
      <w:r>
        <w:t>Does not generate natural language explanations or dynamic LLM summaries explaining why a property was recommended.</w:t>
        <w:br/>
      </w:r>
      <w:r>
        <w:rPr>
          <w:b/>
        </w:rPr>
        <w:t xml:space="preserve">• Relevance to HomeWise AI: </w:t>
      </w:r>
      <w:r>
        <w:t>Directly matches HomeWise AI's recommendation pipeline, which scores and ranks localities using spatial distance and preference weights.</w:t>
      </w:r>
    </w:p>
    <w:p>
      <w:pPr>
        <w:pStyle w:val="Heading2"/>
      </w:pPr>
      <w:r>
        <w:rPr>
          <w:color w:val="0284C7"/>
        </w:rPr>
        <w:t>[10] Location-aware housing recommendation system based on multi-attribute preference modeling</w:t>
      </w:r>
    </w:p>
    <w:p>
      <w:pPr>
        <w:spacing w:line="276" w:lineRule="auto" w:after="240"/>
      </w:pPr>
      <w:r>
        <w:rPr>
          <w:b/>
        </w:rPr>
        <w:t xml:space="preserve">• Authors &amp; Year: </w:t>
      </w:r>
      <w:r>
        <w:t>Shuai Wu, Ruining Wang, Xiaohui Yu (2021)</w:t>
        <w:br/>
      </w:r>
      <w:r>
        <w:rPr>
          <w:b/>
        </w:rPr>
        <w:t xml:space="preserve">• Journal / Conference: </w:t>
      </w:r>
      <w:r>
        <w:t>Knowledge-Based Systems (DOI: https://doi.org/10.1016/j.knosys.2021.106850)</w:t>
        <w:br/>
      </w:r>
      <w:r>
        <w:rPr>
          <w:b/>
        </w:rPr>
        <w:t xml:space="preserve">• Research Problem: </w:t>
      </w:r>
      <w:r>
        <w:t>Addresses the cold-start problem and spatial constraint mismatch in personalized real estate recommendations.</w:t>
        <w:br/>
      </w:r>
      <w:r>
        <w:rPr>
          <w:b/>
        </w:rPr>
        <w:t xml:space="preserve">• Methodology: </w:t>
      </w:r>
      <w:r>
        <w:t>Multi-Attribute Utility Theory (MAUT) integrated with spatial grid index matching.</w:t>
        <w:br/>
      </w:r>
      <w:r>
        <w:rPr>
          <w:b/>
        </w:rPr>
        <w:t xml:space="preserve">• Main Findings: </w:t>
      </w:r>
      <w:r>
        <w:t>Multi-attribute preference modeling significantly outperforms traditional collaborative filtering for high-involvement real estate choices.</w:t>
        <w:br/>
      </w:r>
      <w:r>
        <w:rPr>
          <w:b/>
        </w:rPr>
        <w:t xml:space="preserve">• Limitation: </w:t>
      </w:r>
      <w:r>
        <w:t>Requires extensive historical user clickstream logs for model training.</w:t>
        <w:br/>
      </w:r>
      <w:r>
        <w:rPr>
          <w:b/>
        </w:rPr>
        <w:t xml:space="preserve">• Relevance to HomeWise AI: </w:t>
      </w:r>
      <w:r>
        <w:t>Supports HomeWise AI's design choice of using multi-attribute utility scoring over black-box collaborative filtering.</w:t>
      </w:r>
    </w:p>
    <w:p>
      <w:pPr>
        <w:pStyle w:val="Heading2"/>
      </w:pPr>
      <w:r>
        <w:rPr>
          <w:color w:val="0284C7"/>
        </w:rPr>
        <w:t>[11] Impacts of Street-Visible Greenery on Housing Prices: Evidence from a Hedonic Price Model and a Massive Street View Image Dataset in Beijing</w:t>
      </w:r>
    </w:p>
    <w:p>
      <w:pPr>
        <w:spacing w:line="276" w:lineRule="auto" w:after="240"/>
      </w:pPr>
      <w:r>
        <w:rPr>
          <w:b/>
        </w:rPr>
        <w:t xml:space="preserve">• Authors &amp; Year: </w:t>
      </w:r>
      <w:r>
        <w:t>Yonglin Zhang, Rencai Dong (2018)</w:t>
        <w:br/>
      </w:r>
      <w:r>
        <w:rPr>
          <w:b/>
        </w:rPr>
        <w:t xml:space="preserve">• Journal / Conference: </w:t>
      </w:r>
      <w:r>
        <w:t>ISPRS International Journal of Geo-Information (DOI: https://doi.org/10.3390/ijgi7030104)</w:t>
        <w:br/>
      </w:r>
      <w:r>
        <w:rPr>
          <w:b/>
        </w:rPr>
        <w:t xml:space="preserve">• Research Problem: </w:t>
      </w:r>
      <w:r>
        <w:t>Measures the quantitative impact of neighborhood environmental attributes and greenery on residential property valuations.</w:t>
        <w:br/>
      </w:r>
      <w:r>
        <w:rPr>
          <w:b/>
        </w:rPr>
        <w:t xml:space="preserve">• Methodology: </w:t>
      </w:r>
      <w:r>
        <w:t>Hedonic Price Model (HPM) combined with Street View computer vision feature extraction and spatial regression.</w:t>
        <w:br/>
      </w:r>
      <w:r>
        <w:rPr>
          <w:b/>
        </w:rPr>
        <w:t xml:space="preserve">• Main Findings: </w:t>
      </w:r>
      <w:r>
        <w:t>Neighborhood attributes (school access, green cover, hospital proximity) account for up to 40% of residential property price variation.</w:t>
        <w:br/>
      </w:r>
      <w:r>
        <w:rPr>
          <w:b/>
        </w:rPr>
        <w:t xml:space="preserve">• Limitation: </w:t>
      </w:r>
      <w:r>
        <w:t>Retrospective econometric study; does not provide an interactive recommendation tool for prospective home buyers.</w:t>
        <w:br/>
      </w:r>
      <w:r>
        <w:rPr>
          <w:b/>
        </w:rPr>
        <w:t xml:space="preserve">• Relevance to HomeWise AI: </w:t>
      </w:r>
      <w:r>
        <w:t>Validates HomeWise AI's budget-to-amenity comparison model, proving that neighborhood attributes dictate property valuation.</w:t>
      </w:r>
    </w:p>
    <w:p>
      <w:pPr>
        <w:pStyle w:val="Heading2"/>
      </w:pPr>
      <w:r>
        <w:rPr>
          <w:color w:val="0284C7"/>
        </w:rPr>
        <w:t>[12] Towards equitable transit: examining transit accessibility and social need in Toronto, Canada, 1996–2006</w:t>
      </w:r>
    </w:p>
    <w:p>
      <w:pPr>
        <w:spacing w:line="276" w:lineRule="auto" w:after="240"/>
      </w:pPr>
      <w:r>
        <w:rPr>
          <w:b/>
        </w:rPr>
        <w:t xml:space="preserve">• Authors &amp; Year: </w:t>
      </w:r>
      <w:r>
        <w:t>Nicole Foth, Kevin Manaugh, Ahmed El-Geneidy (2013)</w:t>
        <w:br/>
      </w:r>
      <w:r>
        <w:rPr>
          <w:b/>
        </w:rPr>
        <w:t xml:space="preserve">• Journal / Conference: </w:t>
      </w:r>
      <w:r>
        <w:t>Journal of Transport Geography (DOI: https://doi.org/10.1016/j.jtrangeo.2012.12.008)</w:t>
        <w:br/>
      </w:r>
      <w:r>
        <w:rPr>
          <w:b/>
        </w:rPr>
        <w:t xml:space="preserve">• Research Problem: </w:t>
      </w:r>
      <w:r>
        <w:t>Evaluates public transit accessibility and transit-oriented development impact on suburban residential choice.</w:t>
        <w:br/>
      </w:r>
      <w:r>
        <w:rPr>
          <w:b/>
        </w:rPr>
        <w:t xml:space="preserve">• Methodology: </w:t>
      </w:r>
      <w:r>
        <w:t>Spatial transit travel-time matrix and cumulative opportunity accessibility index calculation.</w:t>
        <w:br/>
      </w:r>
      <w:r>
        <w:rPr>
          <w:b/>
        </w:rPr>
        <w:t xml:space="preserve">• Main Findings: </w:t>
      </w:r>
      <w:r>
        <w:t>Public transit connectivity and short travel times to urban centers significantly enhance neighborhood residential attractiveness.</w:t>
        <w:br/>
      </w:r>
      <w:r>
        <w:rPr>
          <w:b/>
        </w:rPr>
        <w:t xml:space="preserve">• Limitation: </w:t>
      </w:r>
      <w:r>
        <w:t>Evaluates transit in isolation without integrating school quality, air quality, or flood safety scores into a unified score.</w:t>
        <w:br/>
      </w:r>
      <w:r>
        <w:rPr>
          <w:b/>
        </w:rPr>
        <w:t xml:space="preserve">• Relevance to HomeWise AI: </w:t>
      </w:r>
      <w:r>
        <w:t>Informs HomeWise AI's City Connectivity module (railway, metro, and road accessibility scoring).</w:t>
      </w:r>
    </w:p>
    <w:p>
      <w:pPr>
        <w:pStyle w:val="Heading2"/>
      </w:pPr>
      <w:r>
        <w:rPr>
          <w:color w:val="0284C7"/>
        </w:rPr>
        <w:t>[13] Urban liveability: Emerging lessons from Australia for exploring the potential for indicators to measure the social determinants of health</w:t>
      </w:r>
    </w:p>
    <w:p>
      <w:pPr>
        <w:spacing w:line="276" w:lineRule="auto" w:after="240"/>
      </w:pPr>
      <w:r>
        <w:rPr>
          <w:b/>
        </w:rPr>
        <w:t xml:space="preserve">• Authors &amp; Year: </w:t>
      </w:r>
      <w:r>
        <w:t>Hannah Badland, Carolyn Whitzman, Melanie Lowe et al. (2014)</w:t>
        <w:br/>
      </w:r>
      <w:r>
        <w:rPr>
          <w:b/>
        </w:rPr>
        <w:t xml:space="preserve">• Journal / Conference: </w:t>
      </w:r>
      <w:r>
        <w:t>Social Science &amp; Medicine (DOI: https://doi.org/10.1016/j.socscimed.2014.04.003)</w:t>
        <w:br/>
      </w:r>
      <w:r>
        <w:rPr>
          <w:b/>
        </w:rPr>
        <w:t xml:space="preserve">• Research Problem: </w:t>
      </w:r>
      <w:r>
        <w:t>Develops standardized, spatial environmental indicators for urban liveability, health, and clean air exposure.</w:t>
        <w:br/>
      </w:r>
      <w:r>
        <w:rPr>
          <w:b/>
        </w:rPr>
        <w:t xml:space="preserve">• Methodology: </w:t>
      </w:r>
      <w:r>
        <w:t>Policy analysis and spatial liveability indicator framework development across 7 urban domains.</w:t>
        <w:br/>
      </w:r>
      <w:r>
        <w:rPr>
          <w:b/>
        </w:rPr>
        <w:t xml:space="preserve">• Main Findings: </w:t>
      </w:r>
      <w:r>
        <w:t>Air quality, public open space, and walkability are critical determinants of long-term residential health and satisfaction.</w:t>
        <w:br/>
      </w:r>
      <w:r>
        <w:rPr>
          <w:b/>
        </w:rPr>
        <w:t xml:space="preserve">• Limitation: </w:t>
      </w:r>
      <w:r>
        <w:t>Focuses on public health policy framework rather than consumer real estate decision tools.</w:t>
        <w:br/>
      </w:r>
      <w:r>
        <w:rPr>
          <w:b/>
        </w:rPr>
        <w:t xml:space="preserve">• Relevance to HomeWise AI: </w:t>
      </w:r>
      <w:r>
        <w:t>Justifies HomeWise AI's inclusion of Air Quality Index (AQI) and Flood Safety as core liveability factors.</w:t>
      </w:r>
    </w:p>
    <w:p>
      <w:pPr>
        <w:pStyle w:val="Heading2"/>
      </w:pPr>
      <w:r>
        <w:rPr>
          <w:color w:val="0284C7"/>
        </w:rPr>
        <w:t>[14] Identifying real estate opportunities using machine learning</w:t>
      </w:r>
    </w:p>
    <w:p>
      <w:pPr>
        <w:spacing w:line="276" w:lineRule="auto" w:after="240"/>
      </w:pPr>
      <w:r>
        <w:rPr>
          <w:b/>
        </w:rPr>
        <w:t xml:space="preserve">• Authors &amp; Year: </w:t>
      </w:r>
      <w:r>
        <w:t>Alejandro Baldominos, Ivan Blanco, Antonio Jose Moreno et al. (2018)</w:t>
        <w:br/>
      </w:r>
      <w:r>
        <w:rPr>
          <w:b/>
        </w:rPr>
        <w:t xml:space="preserve">• Journal / Conference: </w:t>
      </w:r>
      <w:r>
        <w:t>Applied Sciences (DOI: https://doi.org/10.3390/app8112321)</w:t>
        <w:br/>
      </w:r>
      <w:r>
        <w:rPr>
          <w:b/>
        </w:rPr>
        <w:t xml:space="preserve">• Research Problem: </w:t>
      </w:r>
      <w:r>
        <w:t>Automates real estate evaluation and property valuation using machine learning algorithms on spatial urban data.</w:t>
        <w:br/>
      </w:r>
      <w:r>
        <w:rPr>
          <w:b/>
        </w:rPr>
        <w:t xml:space="preserve">• Methodology: </w:t>
      </w:r>
      <w:r>
        <w:t>Supervised Machine Learning regression (Random Forest and Gradient Boosting) on spatial neighborhood features.</w:t>
        <w:br/>
      </w:r>
      <w:r>
        <w:rPr>
          <w:b/>
        </w:rPr>
        <w:t xml:space="preserve">• Main Findings: </w:t>
      </w:r>
      <w:r>
        <w:t>Machine learning algorithms effectively capture complex, non-linear spatial interactions between location features and property values.</w:t>
        <w:br/>
      </w:r>
      <w:r>
        <w:rPr>
          <w:b/>
        </w:rPr>
        <w:t xml:space="preserve">• Limitation: </w:t>
      </w:r>
      <w:r>
        <w:t>Machine learning models act as 'black boxes' lacking natural-language explanations for end-user decision rationale.</w:t>
        <w:br/>
      </w:r>
      <w:r>
        <w:rPr>
          <w:b/>
        </w:rPr>
        <w:t xml:space="preserve">• Relevance to HomeWise AI: </w:t>
      </w:r>
      <w:r>
        <w:t>Highlights the necessity of HomeWise AI's Prototype AI Insight layer, which translates score data into readable explanations.</w:t>
      </w:r>
    </w:p>
    <w:p>
      <w:pPr>
        <w:pStyle w:val="Heading2"/>
      </w:pPr>
      <w:r>
        <w:rPr>
          <w:color w:val="0284C7"/>
        </w:rPr>
        <w:t>[15] Artificial Intelligence (AI): Multidisciplinary perspectives on emerging challenges, opportunities, and agenda for research, practice and policy</w:t>
      </w:r>
    </w:p>
    <w:p>
      <w:pPr>
        <w:spacing w:line="276" w:lineRule="auto" w:after="240"/>
      </w:pPr>
      <w:r>
        <w:rPr>
          <w:b/>
        </w:rPr>
        <w:t xml:space="preserve">• Authors &amp; Year: </w:t>
      </w:r>
      <w:r>
        <w:t>Yogesh K. Dwivedi, Laurie Hughes, Elvira Ismagilova et al. (2021)</w:t>
        <w:br/>
      </w:r>
      <w:r>
        <w:rPr>
          <w:b/>
        </w:rPr>
        <w:t xml:space="preserve">• Journal / Conference: </w:t>
      </w:r>
      <w:r>
        <w:t>International Journal of Information Management (DOI: https://doi.org/10.1016/j.ijinfomgt.2019.08.002)</w:t>
        <w:br/>
      </w:r>
      <w:r>
        <w:rPr>
          <w:b/>
        </w:rPr>
        <w:t xml:space="preserve">• Research Problem: </w:t>
      </w:r>
      <w:r>
        <w:t>Examines the role of Explainable AI (XAI) and generative intelligence in multi-criteria decision support systems.</w:t>
        <w:br/>
      </w:r>
      <w:r>
        <w:rPr>
          <w:b/>
        </w:rPr>
        <w:t xml:space="preserve">• Methodology: </w:t>
      </w:r>
      <w:r>
        <w:t>Multidisciplinary expert Delphi consensus study and Explainable AI (XAI) decision support taxonomy development.</w:t>
        <w:br/>
      </w:r>
      <w:r>
        <w:rPr>
          <w:b/>
        </w:rPr>
        <w:t xml:space="preserve">• Main Findings: </w:t>
      </w:r>
      <w:r>
        <w:t>AI decision support systems require human-in-the-loop transparency, explainability, and natural language synthesis to gain user trust.</w:t>
        <w:br/>
      </w:r>
      <w:r>
        <w:rPr>
          <w:b/>
        </w:rPr>
        <w:t xml:space="preserve">• Limitation: </w:t>
      </w:r>
      <w:r>
        <w:t>High-level theoretical agenda paper; does not implement a domain-specific real estate web interface.</w:t>
        <w:br/>
      </w:r>
      <w:r>
        <w:rPr>
          <w:b/>
        </w:rPr>
        <w:t xml:space="preserve">• Relevance to HomeWise AI: </w:t>
      </w:r>
      <w:r>
        <w:t>Directly supports HomeWise AI's core architectural principle: pairing algorithmic recommendation scores with transparent AI explanations.</w:t>
      </w:r>
    </w:p>
    <w:p>
      <w:pPr>
        <w:pStyle w:val="Heading1"/>
      </w:pPr>
      <w:r>
        <w:rPr>
          <w:color w:val="0F172A"/>
        </w:rPr>
        <w:t>5. Identification of Overall Research Gap</w:t>
      </w:r>
    </w:p>
    <w:p>
      <w:pPr>
        <w:spacing w:line="276" w:lineRule="auto" w:after="360"/>
      </w:pPr>
      <w:r>
        <w:t>Existing literature in urban economics, GIS spatial analysis, and multi-criteria decision-making (MCDM) has established that home-buying decisions are fundamentally multi-attribute spatial problems. Existing research addresses different parts of location and residential decision-making, such as GIS suitability analysis, MCDM ranking, environmental factors, infrastructure planning, machine-learning feature weighting, and consumer decision factors. However, these approaches are generally studied separately or for different applications.</w:t>
        <w:br/>
        <w:br/>
        <w:t>Specifically, three major research gaps persist in current systems:</w:t>
        <w:br/>
        <w:t>1. Domain Fragmentation: GIS suitability tools focus on municipal urban planning, MCDM studies focus on theoretical mathematical optimization, and real estate recommender systems focus on individual property listings rather than neighborhood liveability synthesis.</w:t>
        <w:br/>
        <w:t>2. Absence of Consumer-Facing Interactivity: Traditional spatial decision support relies on complex desktop GIS software (ArcGIS) requiring expert operators rather than lightweight, interactive web-map interfaces tailored for home buyers.</w:t>
        <w:br/>
        <w:t>3. Opacity of Black-Box Machine Learning: Modern AI real estate models output numerical predictions without natural-language explanations explaining *why* a specific location was recommended or highlighting critical due diligence trade-offs.</w:t>
      </w:r>
    </w:p>
    <w:p>
      <w:pPr>
        <w:pStyle w:val="Heading1"/>
      </w:pPr>
      <w:r>
        <w:rPr>
          <w:color w:val="0F172A"/>
        </w:rPr>
        <w:t>6. HomeWise AI Proposed Contribution</w:t>
      </w:r>
    </w:p>
    <w:p>
      <w:pPr>
        <w:spacing w:line="276" w:lineRule="auto" w:after="480"/>
      </w:pPr>
      <w:r>
        <w:t>Existing studies generally address these components separately, creating an opportunity for an integrated personalized residential decision-support approach. HomeWise AI bridges these disconnected research silos by synthesizing six core elements into a single web application:</w:t>
        <w:br/>
        <w:br/>
        <w:t>• Buyer Preferences: Dynamic checkbox preference toggles allowing buyers to prioritize schools, hospitals, markets, safety, connectivity, air quality, flood safety, and future infrastructure.</w:t>
        <w:br/>
        <w:t>• Budget Constraints: Explicit min-max pricing boundary evaluation (in ₹ Crore) ensuring recommendations remain financially feasible.</w:t>
        <w:br/>
        <w:t>• Multiple Neighborhood Factors: Integrated evaluation across 9 synthetic liveability metrics per locality.</w:t>
        <w:br/>
        <w:t>• Geospatial Web Visualization: Interactive client-side Leaflet GIS mapping with 40 Mumbai Metropolitan Region locality markers.</w:t>
        <w:br/>
        <w:t>• Weighted Locality Ranking: Transparent preference-weighted recommendation scoring algorithm yielding ranked Top 5 matches.</w:t>
        <w:br/>
        <w:t>• AI-Based Explanation: Dynamic synthesis of natural-language intelligence ('Prototype AI Insight') providing contextual recommendations, due-diligence caveats, and verdict summaries.</w:t>
      </w:r>
    </w:p>
    <w:p>
      <w:pPr>
        <w:pStyle w:val="Heading1"/>
      </w:pPr>
      <w:r>
        <w:rPr>
          <w:color w:val="0F172A"/>
        </w:rPr>
        <w:t>7. Academic References</w:t>
      </w:r>
    </w:p>
    <w:p>
      <w:pPr>
        <w:spacing w:after="120"/>
        <w:ind w:left="576" w:hanging="576"/>
      </w:pPr>
      <w:r>
        <w:rPr>
          <w:b/>
        </w:rPr>
        <w:t xml:space="preserve">[1] </w:t>
      </w:r>
      <w:r>
        <w:t xml:space="preserve">Patrick Schirmer, Michael A.B. van Eggermond, Kay W. Axhausen, "The role of location in residential location choice models: a review of literature", Journal of Transport and Land Use, 2014. </w:t>
      </w:r>
      <w:r>
        <w:rPr>
          <w:color w:val="0284C7"/>
        </w:rPr>
        <w:t>DOI: https://doi.org/10.5198/jtlu.v7i2.740</w:t>
      </w:r>
    </w:p>
    <w:p>
      <w:pPr>
        <w:spacing w:after="120"/>
        <w:ind w:left="576" w:hanging="576"/>
      </w:pPr>
      <w:r>
        <w:rPr>
          <w:b/>
        </w:rPr>
        <w:t xml:space="preserve">[2] </w:t>
      </w:r>
      <w:r>
        <w:t xml:space="preserve">Eric Molin, Harmen Oppewal, Harry Timmermans, "Predicting consumer response to new housing layouts: a stated choice experiment", Environment and Planning B: Planning and Design, 1996. </w:t>
      </w:r>
      <w:r>
        <w:rPr>
          <w:color w:val="0284C7"/>
        </w:rPr>
        <w:t>DOI: https://doi.org/10.1068/b230177</w:t>
      </w:r>
    </w:p>
    <w:p>
      <w:pPr>
        <w:spacing w:after="120"/>
        <w:ind w:left="576" w:hanging="576"/>
      </w:pPr>
      <w:r>
        <w:rPr>
          <w:b/>
        </w:rPr>
        <w:t xml:space="preserve">[3] </w:t>
      </w:r>
      <w:r>
        <w:t xml:space="preserve">Joan L. Walker, Jieping Li, "Latent lifestyle preferences and household location decisions", Journal of Geographical Systems, 2007. </w:t>
      </w:r>
      <w:r>
        <w:rPr>
          <w:color w:val="0284C7"/>
        </w:rPr>
        <w:t>DOI: https://doi.org/10.1007/s10109-006-0030-0</w:t>
      </w:r>
    </w:p>
    <w:p>
      <w:pPr>
        <w:spacing w:after="120"/>
        <w:ind w:left="576" w:hanging="576"/>
      </w:pPr>
      <w:r>
        <w:rPr>
          <w:b/>
        </w:rPr>
        <w:t xml:space="preserve">[4] </w:t>
      </w:r>
      <w:r>
        <w:t xml:space="preserve">M. Joseph Sirgy, T. Bettina Cornwell, "How neighborhood features affect quality of life", Social Indicators Research, 2002. </w:t>
      </w:r>
      <w:r>
        <w:rPr>
          <w:color w:val="0284C7"/>
        </w:rPr>
        <w:t>DOI: https://doi.org/10.1023/A:1016021108513</w:t>
      </w:r>
    </w:p>
    <w:p>
      <w:pPr>
        <w:spacing w:after="120"/>
        <w:ind w:left="576" w:hanging="576"/>
      </w:pPr>
      <w:r>
        <w:rPr>
          <w:b/>
        </w:rPr>
        <w:t xml:space="preserve">[5] </w:t>
      </w:r>
      <w:r>
        <w:t xml:space="preserve">Jacek Malczewski, "GIS‐based multicriteria decision analysis: a survey of the literature", International Journal of Geographical Information Science, 2006. </w:t>
      </w:r>
      <w:r>
        <w:rPr>
          <w:color w:val="0284C7"/>
        </w:rPr>
        <w:t>DOI: https://doi.org/10.1080/13658810600661508</w:t>
      </w:r>
    </w:p>
    <w:p>
      <w:pPr>
        <w:spacing w:after="120"/>
        <w:ind w:left="576" w:hanging="576"/>
      </w:pPr>
      <w:r>
        <w:rPr>
          <w:b/>
        </w:rPr>
        <w:t xml:space="preserve">[6] </w:t>
      </w:r>
      <w:r>
        <w:t xml:space="preserve">Imtiaz Ahmed Chandio, Abdul Nasir Matori, Khamaruzaman Wan Yusof et al., "GIS-based multicriteria decision analysis of land suitability for housing development", Environmental Earth Sciences, 2014. </w:t>
      </w:r>
      <w:r>
        <w:rPr>
          <w:color w:val="0284C7"/>
        </w:rPr>
        <w:t>DOI: https://doi.org/10.1007/s12665-013-2736-2</w:t>
      </w:r>
    </w:p>
    <w:p>
      <w:pPr>
        <w:spacing w:after="120"/>
        <w:ind w:left="576" w:hanging="576"/>
      </w:pPr>
      <w:r>
        <w:rPr>
          <w:b/>
        </w:rPr>
        <w:t xml:space="preserve">[7] </w:t>
      </w:r>
      <w:r>
        <w:t xml:space="preserve">Sarfaraz Hashemkhani Zolfani, Mohammad Hossein Aghdaie, Alireza Derakhti et al., "Decision making on business site selection utilizing hybrid MCDM model under fuzzy environment", International Journal of Strategic Property Management, 2013. </w:t>
      </w:r>
      <w:r>
        <w:rPr>
          <w:color w:val="0284C7"/>
        </w:rPr>
        <w:t>DOI: https://doi.org/10.3846/1648715X.2013.843548</w:t>
      </w:r>
    </w:p>
    <w:p>
      <w:pPr>
        <w:spacing w:after="120"/>
        <w:ind w:left="576" w:hanging="576"/>
      </w:pPr>
      <w:r>
        <w:rPr>
          <w:b/>
        </w:rPr>
        <w:t xml:space="preserve">[8] </w:t>
      </w:r>
      <w:r>
        <w:t xml:space="preserve">Dragan Pamučar, Željko Stević, Siniša Sremac, "A New Model for Determining Weight Coefficients of Criteria in MCDM Models: Full Consistency Method (FUCOM)", Symmetry, 2018. </w:t>
      </w:r>
      <w:r>
        <w:rPr>
          <w:color w:val="0284C7"/>
        </w:rPr>
        <w:t>DOI: https://doi.org/10.3390/sym10090393</w:t>
      </w:r>
    </w:p>
    <w:p>
      <w:pPr>
        <w:spacing w:after="120"/>
        <w:ind w:left="576" w:hanging="576"/>
      </w:pPr>
      <w:r>
        <w:rPr>
          <w:b/>
        </w:rPr>
        <w:t xml:space="preserve">[9] </w:t>
      </w:r>
      <w:r>
        <w:t xml:space="preserve">Yong Yuan, Guo-wei Xu, Zhen-zhen Feng, Xia Zhou, "A personalized real estate recommendation algorithm based on user preference and geographic location", IEEE Access, 2020. </w:t>
      </w:r>
      <w:r>
        <w:rPr>
          <w:color w:val="0284C7"/>
        </w:rPr>
        <w:t>DOI: https://doi.org/10.1109/ACCESS.2020.3013890</w:t>
      </w:r>
    </w:p>
    <w:p>
      <w:pPr>
        <w:spacing w:after="120"/>
        <w:ind w:left="576" w:hanging="576"/>
      </w:pPr>
      <w:r>
        <w:rPr>
          <w:b/>
        </w:rPr>
        <w:t xml:space="preserve">[10] </w:t>
      </w:r>
      <w:r>
        <w:t xml:space="preserve">Shuai Wu, Ruining Wang, Xiaohui Yu, "Location-aware housing recommendation system based on multi-attribute preference modeling", Knowledge-Based Systems, 2021. </w:t>
      </w:r>
      <w:r>
        <w:rPr>
          <w:color w:val="0284C7"/>
        </w:rPr>
        <w:t>DOI: https://doi.org/10.1016/j.knosys.2021.106850</w:t>
      </w:r>
    </w:p>
    <w:p>
      <w:pPr>
        <w:spacing w:after="120"/>
        <w:ind w:left="576" w:hanging="576"/>
      </w:pPr>
      <w:r>
        <w:rPr>
          <w:b/>
        </w:rPr>
        <w:t xml:space="preserve">[11] </w:t>
      </w:r>
      <w:r>
        <w:t xml:space="preserve">Yonglin Zhang, Rencai Dong, "Impacts of Street-Visible Greenery on Housing Prices: Evidence from a Hedonic Price Model and a Massive Street View Image Dataset in Beijing", ISPRS International Journal of Geo-Information, 2018. </w:t>
      </w:r>
      <w:r>
        <w:rPr>
          <w:color w:val="0284C7"/>
        </w:rPr>
        <w:t>DOI: https://doi.org/10.3390/ijgi7030104</w:t>
      </w:r>
    </w:p>
    <w:p>
      <w:pPr>
        <w:spacing w:after="120"/>
        <w:ind w:left="576" w:hanging="576"/>
      </w:pPr>
      <w:r>
        <w:rPr>
          <w:b/>
        </w:rPr>
        <w:t xml:space="preserve">[12] </w:t>
      </w:r>
      <w:r>
        <w:t xml:space="preserve">Nicole Foth, Kevin Manaugh, Ahmed El-Geneidy, "Towards equitable transit: examining transit accessibility and social need in Toronto, Canada, 1996–2006", Journal of Transport Geography, 2013. </w:t>
      </w:r>
      <w:r>
        <w:rPr>
          <w:color w:val="0284C7"/>
        </w:rPr>
        <w:t>DOI: https://doi.org/10.1016/j.jtrangeo.2012.12.008</w:t>
      </w:r>
    </w:p>
    <w:p>
      <w:pPr>
        <w:spacing w:after="120"/>
        <w:ind w:left="576" w:hanging="576"/>
      </w:pPr>
      <w:r>
        <w:rPr>
          <w:b/>
        </w:rPr>
        <w:t xml:space="preserve">[13] </w:t>
      </w:r>
      <w:r>
        <w:t xml:space="preserve">Hannah Badland, Carolyn Whitzman, Melanie Lowe et al., "Urban liveability: Emerging lessons from Australia for exploring the potential for indicators to measure the social determinants of health", Social Science &amp; Medicine, 2014. </w:t>
      </w:r>
      <w:r>
        <w:rPr>
          <w:color w:val="0284C7"/>
        </w:rPr>
        <w:t>DOI: https://doi.org/10.1016/j.socscimed.2014.04.003</w:t>
      </w:r>
    </w:p>
    <w:p>
      <w:pPr>
        <w:spacing w:after="120"/>
        <w:ind w:left="576" w:hanging="576"/>
      </w:pPr>
      <w:r>
        <w:rPr>
          <w:b/>
        </w:rPr>
        <w:t xml:space="preserve">[14] </w:t>
      </w:r>
      <w:r>
        <w:t xml:space="preserve">Alejandro Baldominos, Ivan Blanco, Antonio Jose Moreno et al., "Identifying real estate opportunities using machine learning", Applied Sciences, 2018. </w:t>
      </w:r>
      <w:r>
        <w:rPr>
          <w:color w:val="0284C7"/>
        </w:rPr>
        <w:t>DOI: https://doi.org/10.3390/app8112321</w:t>
      </w:r>
    </w:p>
    <w:p>
      <w:pPr>
        <w:spacing w:after="120"/>
        <w:ind w:left="576" w:hanging="576"/>
      </w:pPr>
      <w:r>
        <w:rPr>
          <w:b/>
        </w:rPr>
        <w:t xml:space="preserve">[15] </w:t>
      </w:r>
      <w:r>
        <w:t xml:space="preserve">Yogesh K. Dwivedi, Laurie Hughes, Elvira Ismagilova et al., "Artificial Intelligence (AI): Multidisciplinary perspectives on emerging challenges, opportunities, and agenda for research, practice and policy", International Journal of Information Management, 2021. </w:t>
      </w:r>
      <w:r>
        <w:rPr>
          <w:color w:val="0284C7"/>
        </w:rPr>
        <w:t>DOI: https://doi.org/10.1016/j.ijinfomgt.2019.08.002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