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REGISTRO DE ALTERAÇÕES</w:t>
      </w:r>
    </w:p>
    <w:p>
      <w:pPr>
        <w:pStyle w:val="Subtitle"/>
        <w:jc w:val="left"/>
      </w:pPr>
      <w:r>
        <w:t>Arquitetura backend para o catálogo completo de testes do PsychoSys</w:t>
      </w:r>
    </w:p>
    <w:p>
      <w:pPr>
        <w:spacing w:after="60"/>
      </w:pPr>
      <w:r>
        <w:rPr>
          <w:rFonts w:ascii="Calibri" w:hAnsi="Calibri"/>
          <w:b/>
          <w:i w:val="0"/>
          <w:color w:val="1F2937"/>
          <w:sz w:val="21"/>
        </w:rPr>
        <w:t xml:space="preserve">Projeto: </w:t>
      </w:r>
      <w:r>
        <w:rPr>
          <w:rFonts w:ascii="Calibri" w:hAnsi="Calibri"/>
          <w:b/>
          <w:i w:val="0"/>
          <w:color w:val="067647"/>
          <w:sz w:val="21"/>
        </w:rPr>
        <w:t>PsychoSys</w:t>
      </w:r>
    </w:p>
    <w:p>
      <w:pPr>
        <w:spacing w:after="60"/>
      </w:pPr>
      <w:r>
        <w:rPr>
          <w:rFonts w:ascii="Calibri" w:hAnsi="Calibri"/>
          <w:b/>
          <w:i w:val="0"/>
          <w:color w:val="1F2937"/>
          <w:sz w:val="21"/>
        </w:rPr>
        <w:t xml:space="preserve">Rodada: </w:t>
      </w:r>
      <w:r>
        <w:rPr>
          <w:rFonts w:ascii="Calibri" w:hAnsi="Calibri"/>
          <w:b/>
          <w:i w:val="0"/>
          <w:color w:val="067647"/>
          <w:sz w:val="21"/>
        </w:rPr>
        <w:t>Estruturação do backend para instrumentos psicológicos</w:t>
      </w:r>
    </w:p>
    <w:p>
      <w:pPr>
        <w:spacing w:after="60"/>
      </w:pPr>
      <w:r>
        <w:rPr>
          <w:rFonts w:ascii="Calibri" w:hAnsi="Calibri"/>
          <w:b/>
          <w:i w:val="0"/>
          <w:color w:val="1F2937"/>
          <w:sz w:val="21"/>
        </w:rPr>
        <w:t xml:space="preserve">Data do registro: </w:t>
      </w:r>
      <w:r>
        <w:rPr>
          <w:rFonts w:ascii="Calibri" w:hAnsi="Calibri"/>
          <w:b/>
          <w:i w:val="0"/>
          <w:color w:val="1F2937"/>
          <w:sz w:val="21"/>
        </w:rPr>
        <w:t>2 de julho de 2026</w:t>
      </w:r>
    </w:p>
    <w:p>
      <w:pPr>
        <w:spacing w:after="60"/>
      </w:pPr>
      <w:r>
        <w:rPr>
          <w:rFonts w:ascii="Calibri" w:hAnsi="Calibri"/>
          <w:b/>
          <w:i w:val="0"/>
          <w:color w:val="1F2937"/>
          <w:sz w:val="21"/>
        </w:rPr>
        <w:t xml:space="preserve">Situação: </w:t>
      </w:r>
      <w:r>
        <w:rPr>
          <w:rFonts w:ascii="Calibri" w:hAnsi="Calibri"/>
          <w:b/>
          <w:i w:val="0"/>
          <w:color w:val="067647"/>
          <w:sz w:val="21"/>
        </w:rPr>
        <w:t>Implementado localmente; migração pendente de execução no Supabase</w:t>
      </w:r>
    </w:p>
    <w:p>
      <w:pPr>
        <w:pStyle w:val="Heading1"/>
        <w:keepNext/>
      </w:pPr>
      <w:r>
        <w:t>Resumo executivo</w:t>
      </w:r>
    </w:p>
    <w:p>
      <w:r>
        <w:rPr>
          <w:rFonts w:ascii="Calibri" w:hAnsi="Calibri"/>
          <w:b w:val="0"/>
          <w:i w:val="0"/>
          <w:color w:val="1F2937"/>
          <w:sz w:val="22"/>
        </w:rPr>
        <w:t>A arquitetura anterior já armazenava pontuações brutas, resultados calculados e dados normativos em JSONB. Essa flexibilidade, porém, não era acompanhada de um catálogo persistido, controle de versões, formulários por informante, conjuntos normativos governados ou vínculo formal entre o formulário e o resultado.</w:t>
      </w:r>
    </w:p>
    <w:p>
      <w:r>
        <w:rPr>
          <w:rFonts w:ascii="Calibri" w:hAnsi="Calibri"/>
          <w:b w:val="0"/>
          <w:i w:val="0"/>
          <w:color w:val="1F2937"/>
          <w:sz w:val="22"/>
        </w:rPr>
        <w:t>Nesta rodada foi criada uma camada extensível e retrocompatível para receber os 46 instrumentos e 56 formulários identificados na planilha PsychoSys 3.7.2d. O fluxo atual do WISC-IV foi preservado. Nenhum instrumento foi apresentado como clinicamente implementado antes da modelagem e validação de suas regras.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Indicador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Registro desta rodada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Famílias de instrumentos catalogadas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46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Formulários/versões cadastrados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56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Categorias funcionais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Formulários ativos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WISC-IV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Demais formulários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Catalogados, aguardando modelagem e validação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Compatibilidade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Mantida com test_results e normative_data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Diagnóstico que motivou a alteração</w:t>
      </w:r>
    </w:p>
    <w:p>
      <w:r>
        <w:rPr>
          <w:rFonts w:ascii="Calibri" w:hAnsi="Calibri"/>
          <w:b w:val="0"/>
          <w:i w:val="0"/>
          <w:color w:val="1F2937"/>
          <w:sz w:val="22"/>
        </w:rPr>
        <w:t>A estrutura existente era parcialmente genérica, mas a lista de testes permanecia fixa na interface e o banco não representava famílias, formulários, edições, informantes, motores de correção ou conjuntos normativos versionados. Acrescentar dezenas de testes diretamente nesse formato produziria código específico espalhado e tornaria difícil revisar normas ou reproduzir um cálculo histórico.</w:t>
      </w:r>
    </w:p>
    <w:p>
      <w:pPr>
        <w:pStyle w:val="Heading1"/>
        <w:keepNext/>
      </w:pPr>
      <w:r>
        <w:t>Arquitetura implementada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00"/>
        <w:gridCol w:w="1600"/>
        <w:gridCol w:w="54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Componente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test_categories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Nova tabela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Organiza os instrumentos em 11 áreas funcionais.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test_instruments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Nova tabela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Representa as 46 famílias conceituais de instrumentos.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test_forms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Nova tabela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Representa 56 formulários, informantes, versões e status de implementação.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test_normative_sets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Nova tabela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Versiona fontes, populações e regras de seleção normativa.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test_normative_tables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Nova tabela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Armazena tabelas normativas vinculadas a um conjunto específico.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test_results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Tabela ampliada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Passa a registrar formulário, versão do resultado, motor, norma e conclusão.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test_catalog_view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Nova visão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Entrega um catálogo estável para consumo pela aplicação.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sync_test_result_form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Função e gatilho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Mantém compatibilidade entre test_code e test_form_code.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Contrato extensível dos formulários</w:t>
      </w:r>
    </w:p>
    <w:p>
      <w:r>
        <w:rPr>
          <w:rFonts w:ascii="Calibri" w:hAnsi="Calibri"/>
          <w:b w:val="0"/>
          <w:i w:val="0"/>
          <w:color w:val="1F2937"/>
          <w:sz w:val="22"/>
        </w:rPr>
        <w:t>Cada formulário possui campos JSONB independentes para administração, correção e relatório. A estrutura permite incorporar novos formatos sem criar colunas para cada teste, enquanto definition_version, engine_key e engine_version permitem reproduzir qual regra gerou determinado resultado.</w:t>
      </w:r>
    </w:p>
    <w:p>
      <w:pPr>
        <w:pStyle w:val="Heading2"/>
        <w:keepNext/>
      </w:pPr>
      <w:r>
        <w:t>Governança de implementação</w:t>
      </w:r>
    </w:p>
    <w:p>
      <w:r>
        <w:rPr>
          <w:rFonts w:ascii="Calibri" w:hAnsi="Calibri"/>
          <w:b w:val="0"/>
          <w:i w:val="0"/>
          <w:color w:val="1F2937"/>
          <w:sz w:val="22"/>
        </w:rPr>
        <w:t>O WISC-IV foi registrado como active e associado ao motor existente. Os outros 55 formulários foram registrados como catalogued. A distinção evita liberar instrumentos que ainda não tiveram itens, normas e cálculos formalmente modelados e revisados.</w:t>
      </w:r>
    </w:p>
    <w:p>
      <w:pPr>
        <w:pStyle w:val="Heading2"/>
        <w:keepNext/>
      </w:pPr>
      <w:r>
        <w:t>Compatibilidade e migração de dados</w:t>
      </w:r>
    </w:p>
    <w:p>
      <w:r>
        <w:rPr>
          <w:rFonts w:ascii="Calibri" w:hAnsi="Calibri"/>
          <w:b w:val="0"/>
          <w:i w:val="0"/>
          <w:color w:val="1F2937"/>
          <w:sz w:val="22"/>
        </w:rPr>
        <w:t>A migração não remove nem renomeia tabelas ou campos existentes. O campo test_code continua aceito pelos clientes atuais. Quando o código coincide com um formulário catalogado, test_form_code é preenchido automaticamente. As normas legadas são copiadas para um conjunto identificado como LEGACY_IMPORT, preservando a tabela normative_data como origem.</w:t>
      </w:r>
    </w:p>
    <w:p>
      <w:pPr>
        <w:pStyle w:val="Heading2"/>
        <w:keepNext/>
      </w:pPr>
      <w:r>
        <w:t>Segurança</w:t>
      </w:r>
    </w:p>
    <w:p>
      <w:r>
        <w:rPr>
          <w:rFonts w:ascii="Calibri" w:hAnsi="Calibri"/>
          <w:b w:val="0"/>
          <w:i w:val="0"/>
          <w:color w:val="1F2937"/>
          <w:sz w:val="22"/>
        </w:rPr>
        <w:t>As cinco novas tabelas usam Row Level Security. Usuários autenticados podem ler o catálogo e as normas; alterações administrativas são limitadas ao perfil master. Os resultados clínicos permanecem protegidos pelas políticas ligadas à avaliação e ao profissional responsável.</w:t>
      </w:r>
    </w:p>
    <w:p>
      <w:r>
        <w:br w:type="page"/>
      </w:r>
    </w:p>
    <w:p>
      <w:pPr>
        <w:pStyle w:val="Heading1"/>
        <w:keepNext/>
      </w:pPr>
      <w:r>
        <w:t>Arquivos alterados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Arquivo</w:t>
            </w:r>
          </w:p>
        </w:tc>
        <w:tc>
          <w:tcPr>
            <w:tcW w:type="dxa" w:w="5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Alteração registrada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migrations/20260702_test_catalog_architecture.sql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Criação da arquitetura, catálogo inicial, migração legada, RLS, visão, índices e gatilhos.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src/lib/test-catalog.js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Camada de acesso ao catálogo, formulários, conjuntos normativos e resultados estruturados.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README.md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Instruções de execução das migrações e registro da nova capacidade do backend.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Interface de acesso criada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Operação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getTestCatalog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Consulta dinâmica do catálogo, com filtros de atividade e implementação.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getTestForm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Recupera definição, instrumento e categoria de um formulário.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getNormativeSets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Lista conjuntos normativos válidos para o formulário.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getNormativeTables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Recupera as tabelas de um conjunto normativo selecionado.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saveStructuredTestResult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Persiste resultados no contrato comum e registra versões e norma utilizada.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Validações automáticas realizadas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Verificação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Contagem de instrumentos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46 encontrados no catálogo SQL.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Contagem de formulários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56 encontrados no catálogo SQL.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Códigos duplicados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Nenhum.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Categorias desconhecidas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Nenhuma.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Formulários sem instrumento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Nenhum.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Integridade textual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git diff --check sem erros.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Build de produção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npm run build concluído com sucesso.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1F2937"/>
          <w:sz w:val="22"/>
        </w:rPr>
        <w:t>Observação: o Vite manteve um aviso de tamanho de bundle superior a 500 kB. O aviso não bloqueia o build e não foi introduzido pela arquitetura de banco.</w:t>
      </w:r>
    </w:p>
    <w:p>
      <w:pPr>
        <w:pStyle w:val="Heading1"/>
        <w:keepNext/>
      </w:pPr>
      <w:r>
        <w:t>Limites desta rodada</w:t>
      </w:r>
    </w:p>
    <w:p>
      <w:r>
        <w:rPr>
          <w:rFonts w:ascii="Calibri" w:hAnsi="Calibri"/>
          <w:b w:val="0"/>
          <w:i w:val="0"/>
          <w:color w:val="1F2937"/>
          <w:sz w:val="22"/>
        </w:rPr>
        <w:t>Não foram implementados os itens, normas ou algoritmos clínicos dos 55 formulários catalogados além do WISC-IV. Também não foi alterada a tela de avaliações para consumir o novo catálogo e não houve validação manual da interface, conforme a orientação registrada para as próximas refatorações.</w:t>
      </w:r>
    </w:p>
    <w:p>
      <w:r>
        <w:rPr>
          <w:rFonts w:ascii="Calibri" w:hAnsi="Calibri"/>
          <w:b w:val="0"/>
          <w:i w:val="0"/>
          <w:color w:val="1F2937"/>
          <w:sz w:val="22"/>
        </w:rPr>
        <w:t>A migração foi preparada no repositório, mas ainda precisa ser executada no SQL Editor do projeto Supabase. Até essa execução, o banco remoto permanece inalterado.</w:t>
      </w:r>
    </w:p>
    <w:p>
      <w:pPr>
        <w:pStyle w:val="Heading1"/>
        <w:keepNext/>
      </w:pPr>
      <w:r>
        <w:t>Procedimento de aplicação</w:t>
      </w:r>
    </w:p>
    <w:p>
      <w:pPr>
        <w:pStyle w:val="Heading2"/>
        <w:keepNext/>
      </w:pPr>
      <w:r>
        <w:t>Preparação</w:t>
      </w:r>
    </w:p>
    <w:p>
      <w:r>
        <w:rPr>
          <w:rFonts w:ascii="Calibri" w:hAnsi="Calibri"/>
          <w:b w:val="0"/>
          <w:i w:val="0"/>
          <w:color w:val="1F2937"/>
          <w:sz w:val="22"/>
        </w:rPr>
        <w:t>Confirmar que as migrações anteriores do projeto já foram aplicadas e realizar o backup habitual do banco antes de qualquer alteração estrutural.</w:t>
      </w:r>
    </w:p>
    <w:p>
      <w:pPr>
        <w:pStyle w:val="Heading2"/>
        <w:keepNext/>
      </w:pPr>
      <w:r>
        <w:t>Execução</w:t>
      </w:r>
    </w:p>
    <w:p>
      <w:r>
        <w:rPr>
          <w:rFonts w:ascii="Calibri" w:hAnsi="Calibri"/>
          <w:b w:val="0"/>
          <w:i w:val="0"/>
          <w:color w:val="1F2937"/>
          <w:sz w:val="22"/>
        </w:rPr>
        <w:t>Abrir o SQL Editor do Supabase e executar integralmente o arquivo migrations/20260702_test_catalog_architecture.sql.</w:t>
      </w:r>
    </w:p>
    <w:p>
      <w:pPr>
        <w:pStyle w:val="Heading2"/>
        <w:keepNext/>
      </w:pPr>
      <w:r>
        <w:t>Conferência</w:t>
      </w:r>
    </w:p>
    <w:p>
      <w:r>
        <w:rPr>
          <w:rFonts w:ascii="Calibri" w:hAnsi="Calibri"/>
          <w:b w:val="0"/>
          <w:i w:val="0"/>
          <w:color w:val="1F2937"/>
          <w:sz w:val="22"/>
        </w:rPr>
        <w:t>Confirmar a criação das cinco novas tabelas e consultar test_catalog_view. O retorno esperado é de 56 linhas, correspondentes aos formulários catalogados.</w:t>
      </w:r>
    </w:p>
    <w:p>
      <w:pPr>
        <w:pStyle w:val="Heading2"/>
        <w:keepNext/>
      </w:pPr>
      <w:r>
        <w:t>Validação funcional</w:t>
      </w:r>
    </w:p>
    <w:p>
      <w:r>
        <w:rPr>
          <w:rFonts w:ascii="Calibri" w:hAnsi="Calibri"/>
          <w:b w:val="0"/>
          <w:i w:val="0"/>
          <w:color w:val="1F2937"/>
          <w:sz w:val="22"/>
        </w:rPr>
        <w:t>Abrir uma avaliação WISC-IV existente, salvar o resultado e confirmar que o fluxo anterior permanece funcional. A validação manual será realizada pelo responsável do projeto.</w:t>
      </w:r>
    </w:p>
    <w:p>
      <w:pPr>
        <w:pStyle w:val="Heading1"/>
        <w:keepNext/>
      </w:pPr>
      <w:r>
        <w:t>Próximos passos recomendados</w:t>
      </w:r>
    </w:p>
    <w:p>
      <w:r>
        <w:rPr>
          <w:rFonts w:ascii="Calibri" w:hAnsi="Calibri"/>
          <w:b w:val="0"/>
          <w:i w:val="0"/>
          <w:color w:val="1F2937"/>
          <w:sz w:val="22"/>
        </w:rPr>
        <w:t>Em rodada futura, substituir a lista fixa da tela de avaliações pela visão test_catalog_view e implementar os instrumentos em lotes priorizados. Cada lote deve incluir definição do formulário, motor de cálculo, conjunto normativo, resultado textual, elementos gráficos e validação profissional antes de mudar o status para active.</w:t>
      </w:r>
    </w:p>
    <w:p>
      <w:pPr>
        <w:pStyle w:val="Heading1"/>
        <w:keepNext/>
      </w:pPr>
      <w:r>
        <w:t>Registro de aceite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Preenchimento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Responsável pela revisão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Data da aplicação no Supabase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Resultado da validação manual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Observações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/>
        <w:b w:val="0"/>
        <w:i w:val="0"/>
        <w:color w:val="667085"/>
        <w:sz w:val="17"/>
      </w:rPr>
      <w:t>Arquitetura backend de testes  |  02/07/2026</w:t>
    </w:r>
    <w:r>
      <w:rPr>
        <w:rFonts w:ascii="Calibri" w:hAnsi="Calibri"/>
        <w:b w:val="0"/>
        <w:i w:val="0"/>
        <w:color w:val="667085"/>
        <w:sz w:val="17"/>
      </w:rPr>
      <w:tab/>
      <w:t xml:space="preserve">Página </w:t>
    </w:r>
    <w:r>
      <w:rPr>
        <w:rFonts w:ascii="Calibri" w:hAnsi="Calibri"/>
        <w:b w:val="0"/>
        <w:i w:val="0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7"/>
      </w:rPr>
      <w:t>PSYCHOSYS  |  REGISTRO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Alterações - Arquitetura Backend de Testes PsychoSys</dc:title>
  <dc:subject>Registro técnico da rodada de 2 de julho de 2026</dc:subject>
  <dc:creator>PsychoSys</dc:creator>
  <cp:keywords>PsychoSys, backend, testes, Supabase, arquitetura, migração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