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F88E" w14:textId="1CB2F24C" w:rsidR="00CB1451" w:rsidRDefault="00E31B73" w:rsidP="00CB1451">
      <w:pPr>
        <w:jc w:val="center"/>
        <w:rPr>
          <w:b/>
          <w:sz w:val="20"/>
          <w:szCs w:val="20"/>
        </w:rPr>
      </w:pPr>
      <w:r w:rsidRPr="00CB1451">
        <w:rPr>
          <w:b/>
          <w:sz w:val="20"/>
          <w:szCs w:val="20"/>
        </w:rPr>
        <w:t xml:space="preserve">GB Aerospace </w:t>
      </w:r>
      <w:r w:rsidR="00CB1451" w:rsidRPr="00CB1451">
        <w:rPr>
          <w:b/>
          <w:sz w:val="20"/>
          <w:szCs w:val="20"/>
        </w:rPr>
        <w:t xml:space="preserve">– </w:t>
      </w:r>
      <w:r w:rsidR="005F6AEB">
        <w:rPr>
          <w:b/>
          <w:sz w:val="20"/>
          <w:szCs w:val="20"/>
        </w:rPr>
        <w:t>Critical Positions for POC</w:t>
      </w:r>
    </w:p>
    <w:p w14:paraId="168E06DA" w14:textId="0C1BA98D" w:rsidR="007A73E1" w:rsidRPr="00CB1451" w:rsidRDefault="00E31B73" w:rsidP="00CB1451">
      <w:pPr>
        <w:jc w:val="center"/>
        <w:rPr>
          <w:bCs/>
          <w:i/>
          <w:iCs/>
          <w:sz w:val="20"/>
          <w:szCs w:val="20"/>
        </w:rPr>
      </w:pPr>
      <w:r w:rsidRPr="00CB1451">
        <w:rPr>
          <w:bCs/>
          <w:i/>
          <w:iCs/>
          <w:sz w:val="20"/>
          <w:szCs w:val="20"/>
        </w:rPr>
        <w:t>LTAs, B2G tenders/RFPs/RFQs</w:t>
      </w:r>
      <w:r w:rsidR="00CB1451" w:rsidRPr="00CB1451">
        <w:rPr>
          <w:bCs/>
          <w:i/>
          <w:iCs/>
          <w:sz w:val="20"/>
          <w:szCs w:val="20"/>
        </w:rPr>
        <w:t xml:space="preserve"> | </w:t>
      </w:r>
      <w:r w:rsidR="00D22015">
        <w:rPr>
          <w:bCs/>
          <w:i/>
          <w:iCs/>
          <w:sz w:val="20"/>
          <w:szCs w:val="20"/>
        </w:rPr>
        <w:t xml:space="preserve">Aerospace-Specific Special </w:t>
      </w:r>
      <w:r w:rsidR="00CB1451" w:rsidRPr="00CB1451">
        <w:rPr>
          <w:bCs/>
          <w:i/>
          <w:iCs/>
          <w:sz w:val="20"/>
          <w:szCs w:val="20"/>
        </w:rPr>
        <w:t>Contract Positions</w:t>
      </w:r>
      <w:r w:rsidR="005B34DF">
        <w:rPr>
          <w:bCs/>
          <w:i/>
          <w:iCs/>
          <w:sz w:val="20"/>
          <w:szCs w:val="20"/>
        </w:rPr>
        <w:t xml:space="preserve"> | Aerospace Contract Analyzer Tool – Proof of Concept</w:t>
      </w:r>
    </w:p>
    <w:p w14:paraId="24334773" w14:textId="77777777" w:rsidR="00CB1451" w:rsidRDefault="00CB1451" w:rsidP="00CB1451">
      <w:pPr>
        <w:jc w:val="center"/>
        <w:rPr>
          <w:sz w:val="20"/>
          <w:szCs w:val="20"/>
        </w:rPr>
      </w:pPr>
    </w:p>
    <w:p w14:paraId="36C8E263" w14:textId="7FF9504F" w:rsidR="00472266" w:rsidRDefault="00CB1451" w:rsidP="00CB1451">
      <w:pPr>
        <w:jc w:val="both"/>
        <w:rPr>
          <w:sz w:val="20"/>
          <w:szCs w:val="20"/>
          <w:lang w:val="en-IN"/>
        </w:rPr>
      </w:pPr>
      <w:r>
        <w:rPr>
          <w:b/>
          <w:bCs/>
          <w:sz w:val="20"/>
          <w:szCs w:val="20"/>
          <w:lang w:val="en-IN"/>
        </w:rPr>
        <w:t>Internal Note:</w:t>
      </w:r>
      <w:r w:rsidRPr="00CB1451">
        <w:rPr>
          <w:sz w:val="20"/>
          <w:szCs w:val="20"/>
          <w:lang w:val="en-IN"/>
        </w:rPr>
        <w:t xml:space="preserve"> </w:t>
      </w:r>
      <w:r w:rsidR="002C372E">
        <w:rPr>
          <w:sz w:val="20"/>
          <w:szCs w:val="20"/>
          <w:lang w:val="en-IN"/>
        </w:rPr>
        <w:t>This document sets out ten (10) critical positions considered by Aerospace and GB Legal while evaluating contracts where Aerospace is supplying goods</w:t>
      </w:r>
      <w:r w:rsidR="005F6AEB">
        <w:rPr>
          <w:sz w:val="20"/>
          <w:szCs w:val="20"/>
          <w:lang w:val="en-IN"/>
        </w:rPr>
        <w:t>, in terms of the risks, original positions, GB’s ideal positions, and approval pathways</w:t>
      </w:r>
      <w:r w:rsidR="002C372E">
        <w:rPr>
          <w:sz w:val="20"/>
          <w:szCs w:val="20"/>
          <w:lang w:val="en-IN"/>
        </w:rPr>
        <w:t>.</w:t>
      </w:r>
    </w:p>
    <w:p w14:paraId="701DE716" w14:textId="77777777" w:rsidR="00472266" w:rsidRDefault="00472266" w:rsidP="00CB1451">
      <w:pPr>
        <w:jc w:val="both"/>
        <w:rPr>
          <w:b/>
          <w:bCs/>
          <w:sz w:val="20"/>
          <w:szCs w:val="20"/>
          <w:lang w:val="en-IN"/>
        </w:rPr>
      </w:pPr>
      <w:r w:rsidRPr="00472266">
        <w:rPr>
          <w:b/>
          <w:bCs/>
          <w:sz w:val="20"/>
          <w:szCs w:val="20"/>
          <w:lang w:val="en-IN"/>
        </w:rPr>
        <w:t>Scope Limitation:</w:t>
      </w:r>
    </w:p>
    <w:p w14:paraId="34A1A044" w14:textId="62AEE325" w:rsidR="00F90502" w:rsidRPr="00F90502" w:rsidRDefault="00F90502" w:rsidP="00472266">
      <w:pPr>
        <w:pStyle w:val="ListParagraph"/>
        <w:numPr>
          <w:ilvl w:val="0"/>
          <w:numId w:val="10"/>
        </w:numPr>
        <w:jc w:val="both"/>
        <w:rPr>
          <w:b/>
          <w:bCs/>
          <w:sz w:val="20"/>
          <w:szCs w:val="20"/>
          <w:lang w:val="en-IN"/>
        </w:rPr>
      </w:pPr>
      <w:r>
        <w:rPr>
          <w:sz w:val="20"/>
          <w:szCs w:val="20"/>
          <w:lang w:val="en-IN"/>
        </w:rPr>
        <w:t xml:space="preserve">For the purposes of the POC, only </w:t>
      </w:r>
      <w:r w:rsidRPr="00F90502">
        <w:rPr>
          <w:b/>
          <w:bCs/>
          <w:sz w:val="20"/>
          <w:szCs w:val="20"/>
          <w:lang w:val="en-IN"/>
        </w:rPr>
        <w:t>10 positions</w:t>
      </w:r>
      <w:r>
        <w:rPr>
          <w:sz w:val="20"/>
          <w:szCs w:val="20"/>
          <w:lang w:val="en-IN"/>
        </w:rPr>
        <w:t xml:space="preserve"> have been considered.</w:t>
      </w:r>
    </w:p>
    <w:p w14:paraId="2DE0AFF3" w14:textId="2BA35932" w:rsidR="00CB1451" w:rsidRPr="00472266" w:rsidRDefault="00472266" w:rsidP="00472266">
      <w:pPr>
        <w:pStyle w:val="ListParagraph"/>
        <w:numPr>
          <w:ilvl w:val="0"/>
          <w:numId w:val="10"/>
        </w:numPr>
        <w:jc w:val="both"/>
        <w:rPr>
          <w:b/>
          <w:bCs/>
          <w:sz w:val="20"/>
          <w:szCs w:val="20"/>
          <w:lang w:val="en-IN"/>
        </w:rPr>
      </w:pPr>
      <w:r>
        <w:rPr>
          <w:sz w:val="20"/>
          <w:szCs w:val="20"/>
          <w:lang w:val="en-IN"/>
        </w:rPr>
        <w:t xml:space="preserve">These positions are non-exhaustive. Besides transaction specific risks, there are over </w:t>
      </w:r>
      <w:r w:rsidRPr="00472266">
        <w:rPr>
          <w:b/>
          <w:bCs/>
          <w:sz w:val="20"/>
          <w:szCs w:val="20"/>
          <w:lang w:val="en-IN"/>
        </w:rPr>
        <w:t>52 positions</w:t>
      </w:r>
      <w:r>
        <w:rPr>
          <w:b/>
          <w:bCs/>
          <w:sz w:val="20"/>
          <w:szCs w:val="20"/>
          <w:lang w:val="en-IN"/>
        </w:rPr>
        <w:t xml:space="preserve"> </w:t>
      </w:r>
      <w:r>
        <w:rPr>
          <w:sz w:val="20"/>
          <w:szCs w:val="20"/>
          <w:lang w:val="en-IN"/>
        </w:rPr>
        <w:t>which GB Legal evaluates while reviewing supply contracts.</w:t>
      </w:r>
      <w:r w:rsidR="002F769F">
        <w:rPr>
          <w:sz w:val="20"/>
          <w:szCs w:val="20"/>
          <w:lang w:val="en-IN"/>
        </w:rPr>
        <w:t xml:space="preserve"> GB Legal’s Contract</w:t>
      </w:r>
      <w:r w:rsidR="00713936">
        <w:rPr>
          <w:sz w:val="20"/>
          <w:szCs w:val="20"/>
          <w:lang w:val="en-IN"/>
        </w:rPr>
        <w:t>s Playbook and Aerospace Playbook set out these positions.</w:t>
      </w:r>
      <w:r w:rsidR="00F90502">
        <w:rPr>
          <w:sz w:val="20"/>
          <w:szCs w:val="20"/>
          <w:lang w:val="en-IN"/>
        </w:rPr>
        <w:t xml:space="preserve"> </w:t>
      </w:r>
    </w:p>
    <w:p w14:paraId="7999D811" w14:textId="29D6ED56" w:rsidR="00472266" w:rsidRPr="00713936" w:rsidRDefault="00472266" w:rsidP="00472266">
      <w:pPr>
        <w:pStyle w:val="ListParagraph"/>
        <w:numPr>
          <w:ilvl w:val="0"/>
          <w:numId w:val="10"/>
        </w:numPr>
        <w:jc w:val="both"/>
        <w:rPr>
          <w:b/>
          <w:bCs/>
          <w:sz w:val="20"/>
          <w:szCs w:val="20"/>
          <w:lang w:val="en-IN"/>
        </w:rPr>
      </w:pPr>
      <w:r>
        <w:rPr>
          <w:sz w:val="20"/>
          <w:szCs w:val="20"/>
          <w:lang w:val="en-IN"/>
        </w:rPr>
        <w:t>Th</w:t>
      </w:r>
      <w:r w:rsidR="00843933">
        <w:rPr>
          <w:sz w:val="20"/>
          <w:szCs w:val="20"/>
          <w:lang w:val="en-IN"/>
        </w:rPr>
        <w:t>is document sets forth positions only where Aerospace is supplying goods. It does not</w:t>
      </w:r>
      <w:r w:rsidR="00713936">
        <w:rPr>
          <w:sz w:val="20"/>
          <w:szCs w:val="20"/>
          <w:lang w:val="en-IN"/>
        </w:rPr>
        <w:t xml:space="preserve"> </w:t>
      </w:r>
      <w:r w:rsidR="00843933">
        <w:rPr>
          <w:sz w:val="20"/>
          <w:szCs w:val="20"/>
          <w:lang w:val="en-IN"/>
        </w:rPr>
        <w:t>and should not be used to evaluate other types of contracts, such as</w:t>
      </w:r>
      <w:r w:rsidR="002F769F">
        <w:rPr>
          <w:sz w:val="20"/>
          <w:szCs w:val="20"/>
          <w:lang w:val="en-IN"/>
        </w:rPr>
        <w:t xml:space="preserve"> purchase/procurement, sub-contracting, strategic alliances, consortiums, etc – where the risk profile and landscape shifts drastically.</w:t>
      </w:r>
    </w:p>
    <w:p w14:paraId="19E11279" w14:textId="4C00013C" w:rsidR="00713936" w:rsidRPr="008D794C" w:rsidRDefault="00713936" w:rsidP="00472266">
      <w:pPr>
        <w:pStyle w:val="ListParagraph"/>
        <w:numPr>
          <w:ilvl w:val="0"/>
          <w:numId w:val="10"/>
        </w:numPr>
        <w:jc w:val="both"/>
        <w:rPr>
          <w:b/>
          <w:bCs/>
          <w:sz w:val="20"/>
          <w:szCs w:val="20"/>
          <w:lang w:val="en-IN"/>
        </w:rPr>
      </w:pPr>
      <w:r>
        <w:rPr>
          <w:sz w:val="20"/>
          <w:szCs w:val="20"/>
          <w:lang w:val="en-IN"/>
        </w:rPr>
        <w:t xml:space="preserve">This document is created solely for AI training purposes, to validate a proof-of-concept. </w:t>
      </w:r>
      <w:r w:rsidR="00D961E8">
        <w:rPr>
          <w:sz w:val="20"/>
          <w:szCs w:val="20"/>
          <w:lang w:val="en-IN"/>
        </w:rPr>
        <w:t>Positions evaluated by the tool based on this document should still be routed through Legal and should not be put into commercial practice without legal approvals.</w:t>
      </w:r>
    </w:p>
    <w:p w14:paraId="23A32CC0" w14:textId="77777777" w:rsidR="008D794C" w:rsidRPr="00D961E8" w:rsidRDefault="008D794C" w:rsidP="008D794C">
      <w:pPr>
        <w:pStyle w:val="ListParagraph"/>
        <w:ind w:left="764"/>
        <w:jc w:val="both"/>
        <w:rPr>
          <w:b/>
          <w:bCs/>
          <w:sz w:val="20"/>
          <w:szCs w:val="20"/>
          <w:lang w:val="en-IN"/>
        </w:rPr>
      </w:pPr>
    </w:p>
    <w:tbl>
      <w:tblPr>
        <w:tblStyle w:val="TableGrid"/>
        <w:tblW w:w="0" w:type="auto"/>
        <w:tblLook w:val="04A0" w:firstRow="1" w:lastRow="0" w:firstColumn="1" w:lastColumn="0" w:noHBand="0" w:noVBand="1"/>
      </w:tblPr>
      <w:tblGrid>
        <w:gridCol w:w="817"/>
        <w:gridCol w:w="2126"/>
        <w:gridCol w:w="4121"/>
        <w:gridCol w:w="4401"/>
        <w:gridCol w:w="1711"/>
      </w:tblGrid>
      <w:tr w:rsidR="008856A3" w:rsidRPr="004B0DF5" w14:paraId="0E1DAB8A" w14:textId="77777777" w:rsidTr="00F87B0C">
        <w:tc>
          <w:tcPr>
            <w:tcW w:w="817" w:type="dxa"/>
            <w:tcBorders>
              <w:top w:val="single" w:sz="4" w:space="0" w:color="auto"/>
              <w:left w:val="single" w:sz="4" w:space="0" w:color="auto"/>
              <w:bottom w:val="single" w:sz="4" w:space="0" w:color="auto"/>
              <w:right w:val="single" w:sz="4" w:space="0" w:color="auto"/>
            </w:tcBorders>
            <w:hideMark/>
          </w:tcPr>
          <w:p w14:paraId="534D2700" w14:textId="77777777" w:rsidR="004B0DF5" w:rsidRPr="004B0DF5" w:rsidRDefault="004B0DF5" w:rsidP="004B0DF5">
            <w:pPr>
              <w:spacing w:after="200" w:line="276" w:lineRule="auto"/>
              <w:jc w:val="both"/>
              <w:rPr>
                <w:b/>
                <w:bCs/>
                <w:sz w:val="20"/>
                <w:szCs w:val="20"/>
              </w:rPr>
            </w:pPr>
            <w:r w:rsidRPr="004B0DF5">
              <w:rPr>
                <w:b/>
                <w:bCs/>
                <w:sz w:val="20"/>
                <w:szCs w:val="20"/>
              </w:rPr>
              <w:t>Sr No.</w:t>
            </w:r>
          </w:p>
        </w:tc>
        <w:tc>
          <w:tcPr>
            <w:tcW w:w="2126" w:type="dxa"/>
            <w:tcBorders>
              <w:top w:val="single" w:sz="4" w:space="0" w:color="auto"/>
              <w:left w:val="single" w:sz="4" w:space="0" w:color="auto"/>
              <w:bottom w:val="single" w:sz="4" w:space="0" w:color="auto"/>
              <w:right w:val="single" w:sz="4" w:space="0" w:color="auto"/>
            </w:tcBorders>
            <w:hideMark/>
          </w:tcPr>
          <w:p w14:paraId="51DE121A" w14:textId="77777777" w:rsidR="004B0DF5" w:rsidRPr="004B0DF5" w:rsidRDefault="004B0DF5" w:rsidP="004B0DF5">
            <w:pPr>
              <w:spacing w:after="200" w:line="276" w:lineRule="auto"/>
              <w:jc w:val="both"/>
              <w:rPr>
                <w:b/>
                <w:bCs/>
                <w:sz w:val="20"/>
                <w:szCs w:val="20"/>
              </w:rPr>
            </w:pPr>
            <w:r w:rsidRPr="004B0DF5">
              <w:rPr>
                <w:b/>
                <w:bCs/>
                <w:sz w:val="20"/>
                <w:szCs w:val="20"/>
              </w:rPr>
              <w:t>Clause</w:t>
            </w:r>
          </w:p>
        </w:tc>
        <w:tc>
          <w:tcPr>
            <w:tcW w:w="4121" w:type="dxa"/>
            <w:tcBorders>
              <w:top w:val="single" w:sz="4" w:space="0" w:color="auto"/>
              <w:left w:val="single" w:sz="4" w:space="0" w:color="auto"/>
              <w:bottom w:val="single" w:sz="4" w:space="0" w:color="auto"/>
              <w:right w:val="single" w:sz="4" w:space="0" w:color="auto"/>
            </w:tcBorders>
            <w:hideMark/>
          </w:tcPr>
          <w:p w14:paraId="4F6946E3" w14:textId="77777777" w:rsidR="004B0DF5" w:rsidRPr="004B0DF5" w:rsidRDefault="004B0DF5" w:rsidP="004B0DF5">
            <w:pPr>
              <w:spacing w:after="200" w:line="276" w:lineRule="auto"/>
              <w:jc w:val="both"/>
              <w:rPr>
                <w:b/>
                <w:bCs/>
                <w:sz w:val="20"/>
                <w:szCs w:val="20"/>
              </w:rPr>
            </w:pPr>
            <w:r w:rsidRPr="004B0DF5">
              <w:rPr>
                <w:b/>
                <w:bCs/>
                <w:sz w:val="20"/>
                <w:szCs w:val="20"/>
              </w:rPr>
              <w:t>Explanation</w:t>
            </w:r>
          </w:p>
        </w:tc>
        <w:tc>
          <w:tcPr>
            <w:tcW w:w="4401" w:type="dxa"/>
            <w:tcBorders>
              <w:top w:val="single" w:sz="4" w:space="0" w:color="auto"/>
              <w:left w:val="single" w:sz="4" w:space="0" w:color="auto"/>
              <w:bottom w:val="single" w:sz="4" w:space="0" w:color="auto"/>
              <w:right w:val="single" w:sz="4" w:space="0" w:color="auto"/>
            </w:tcBorders>
            <w:hideMark/>
          </w:tcPr>
          <w:p w14:paraId="14D14B55" w14:textId="77777777" w:rsidR="004B0DF5" w:rsidRPr="004B0DF5" w:rsidRDefault="004B0DF5" w:rsidP="004B0DF5">
            <w:pPr>
              <w:spacing w:after="200" w:line="276" w:lineRule="auto"/>
              <w:jc w:val="both"/>
              <w:rPr>
                <w:b/>
                <w:bCs/>
                <w:sz w:val="20"/>
                <w:szCs w:val="20"/>
              </w:rPr>
            </w:pPr>
            <w:r w:rsidRPr="004B0DF5">
              <w:rPr>
                <w:b/>
                <w:bCs/>
                <w:sz w:val="20"/>
                <w:szCs w:val="20"/>
              </w:rPr>
              <w:t>Standard Positions</w:t>
            </w:r>
          </w:p>
        </w:tc>
        <w:tc>
          <w:tcPr>
            <w:tcW w:w="1711" w:type="dxa"/>
            <w:tcBorders>
              <w:top w:val="single" w:sz="4" w:space="0" w:color="auto"/>
              <w:left w:val="single" w:sz="4" w:space="0" w:color="auto"/>
              <w:bottom w:val="single" w:sz="4" w:space="0" w:color="auto"/>
              <w:right w:val="single" w:sz="4" w:space="0" w:color="auto"/>
            </w:tcBorders>
            <w:hideMark/>
          </w:tcPr>
          <w:p w14:paraId="3C43BFB1" w14:textId="77777777" w:rsidR="004B0DF5" w:rsidRPr="004B0DF5" w:rsidRDefault="004B0DF5" w:rsidP="004B0DF5">
            <w:pPr>
              <w:spacing w:after="200" w:line="276" w:lineRule="auto"/>
              <w:jc w:val="both"/>
              <w:rPr>
                <w:b/>
                <w:bCs/>
                <w:sz w:val="20"/>
                <w:szCs w:val="20"/>
              </w:rPr>
            </w:pPr>
            <w:r w:rsidRPr="004B0DF5">
              <w:rPr>
                <w:b/>
                <w:bCs/>
                <w:sz w:val="20"/>
                <w:szCs w:val="20"/>
              </w:rPr>
              <w:t>Approval for Deviations</w:t>
            </w:r>
          </w:p>
        </w:tc>
      </w:tr>
      <w:tr w:rsidR="008856A3" w:rsidRPr="004B0DF5" w14:paraId="48BA4FFF" w14:textId="77777777" w:rsidTr="00F87B0C">
        <w:tc>
          <w:tcPr>
            <w:tcW w:w="817" w:type="dxa"/>
            <w:tcBorders>
              <w:top w:val="single" w:sz="4" w:space="0" w:color="auto"/>
              <w:left w:val="single" w:sz="4" w:space="0" w:color="auto"/>
              <w:bottom w:val="single" w:sz="4" w:space="0" w:color="auto"/>
              <w:right w:val="single" w:sz="4" w:space="0" w:color="auto"/>
            </w:tcBorders>
            <w:hideMark/>
          </w:tcPr>
          <w:p w14:paraId="234A967D" w14:textId="77777777" w:rsidR="004B0DF5" w:rsidRPr="004B0DF5" w:rsidRDefault="004B0DF5" w:rsidP="004B0DF5">
            <w:pPr>
              <w:spacing w:after="200" w:line="276" w:lineRule="auto"/>
              <w:rPr>
                <w:sz w:val="20"/>
                <w:szCs w:val="20"/>
              </w:rPr>
            </w:pPr>
            <w:r w:rsidRPr="004B0DF5">
              <w:rPr>
                <w:sz w:val="20"/>
                <w:szCs w:val="20"/>
              </w:rPr>
              <w:t>1</w:t>
            </w:r>
          </w:p>
        </w:tc>
        <w:tc>
          <w:tcPr>
            <w:tcW w:w="2126" w:type="dxa"/>
            <w:tcBorders>
              <w:top w:val="single" w:sz="4" w:space="0" w:color="auto"/>
              <w:left w:val="single" w:sz="4" w:space="0" w:color="auto"/>
              <w:bottom w:val="single" w:sz="4" w:space="0" w:color="auto"/>
              <w:right w:val="single" w:sz="4" w:space="0" w:color="auto"/>
            </w:tcBorders>
            <w:hideMark/>
          </w:tcPr>
          <w:p w14:paraId="7F7C0C94" w14:textId="77777777" w:rsidR="004B0DF5" w:rsidRPr="004B0DF5" w:rsidRDefault="004B0DF5" w:rsidP="004B0DF5">
            <w:pPr>
              <w:spacing w:after="200" w:line="276" w:lineRule="auto"/>
              <w:rPr>
                <w:sz w:val="20"/>
                <w:szCs w:val="20"/>
              </w:rPr>
            </w:pPr>
            <w:r w:rsidRPr="004B0DF5">
              <w:rPr>
                <w:sz w:val="20"/>
                <w:szCs w:val="20"/>
              </w:rPr>
              <w:t>Limitation of Liability and Exclusion of Consequential Damages</w:t>
            </w:r>
          </w:p>
        </w:tc>
        <w:tc>
          <w:tcPr>
            <w:tcW w:w="4121" w:type="dxa"/>
            <w:tcBorders>
              <w:top w:val="single" w:sz="4" w:space="0" w:color="auto"/>
              <w:left w:val="single" w:sz="4" w:space="0" w:color="auto"/>
              <w:bottom w:val="single" w:sz="4" w:space="0" w:color="auto"/>
              <w:right w:val="single" w:sz="4" w:space="0" w:color="auto"/>
            </w:tcBorders>
            <w:hideMark/>
          </w:tcPr>
          <w:p w14:paraId="54FB7B6E" w14:textId="77777777" w:rsidR="004B0DF5" w:rsidRPr="004B0DF5" w:rsidRDefault="004B0DF5" w:rsidP="004B0DF5">
            <w:pPr>
              <w:spacing w:after="200" w:line="276" w:lineRule="auto"/>
              <w:rPr>
                <w:sz w:val="20"/>
                <w:szCs w:val="20"/>
              </w:rPr>
            </w:pPr>
            <w:r w:rsidRPr="004B0DF5">
              <w:rPr>
                <w:sz w:val="20"/>
                <w:szCs w:val="20"/>
              </w:rPr>
              <w:t xml:space="preserve">- 1. </w:t>
            </w:r>
            <w:proofErr w:type="spellStart"/>
            <w:r w:rsidRPr="004B0DF5">
              <w:rPr>
                <w:sz w:val="20"/>
                <w:szCs w:val="20"/>
              </w:rPr>
              <w:t>GnB's</w:t>
            </w:r>
            <w:proofErr w:type="spellEnd"/>
            <w:r w:rsidRPr="004B0DF5">
              <w:rPr>
                <w:sz w:val="20"/>
                <w:szCs w:val="20"/>
              </w:rPr>
              <w:t xml:space="preserve"> liability to be capped to 100% of the Agreement value. [If SOWs are being signed under the main agreement, then, 100% of the relevant SOW value under which such claim has arisen]. A higher % like 200% </w:t>
            </w:r>
            <w:proofErr w:type="spellStart"/>
            <w:r w:rsidRPr="004B0DF5">
              <w:rPr>
                <w:sz w:val="20"/>
                <w:szCs w:val="20"/>
              </w:rPr>
              <w:t>etc</w:t>
            </w:r>
            <w:proofErr w:type="spellEnd"/>
            <w:r w:rsidRPr="004B0DF5">
              <w:rPr>
                <w:sz w:val="20"/>
                <w:szCs w:val="20"/>
              </w:rPr>
              <w:t xml:space="preserve"> can be agreed subject to appropriate approvals; the cap on liability can be mutual for both the parties.</w:t>
            </w:r>
            <w:r w:rsidRPr="004B0DF5">
              <w:rPr>
                <w:sz w:val="20"/>
                <w:szCs w:val="20"/>
              </w:rPr>
              <w:br/>
              <w:t xml:space="preserve">- 2. The clause to start with "notwithstanding </w:t>
            </w:r>
            <w:r w:rsidRPr="004B0DF5">
              <w:rPr>
                <w:sz w:val="20"/>
                <w:szCs w:val="20"/>
              </w:rPr>
              <w:lastRenderedPageBreak/>
              <w:t>anything else to the contrary" and not "subject to provisions of the agreement".</w:t>
            </w:r>
            <w:r w:rsidRPr="004B0DF5">
              <w:rPr>
                <w:sz w:val="20"/>
                <w:szCs w:val="20"/>
              </w:rPr>
              <w:br/>
              <w:t>- 3. Following can be excluded from the overall cap: -</w:t>
            </w:r>
            <w:r w:rsidRPr="004B0DF5">
              <w:rPr>
                <w:sz w:val="20"/>
                <w:szCs w:val="20"/>
              </w:rPr>
              <w:br/>
              <w:t>- a. breach of law;</w:t>
            </w:r>
            <w:r w:rsidRPr="004B0DF5">
              <w:rPr>
                <w:sz w:val="20"/>
                <w:szCs w:val="20"/>
              </w:rPr>
              <w:br/>
              <w:t>- b. criminal act;</w:t>
            </w:r>
            <w:r w:rsidRPr="004B0DF5">
              <w:rPr>
                <w:sz w:val="20"/>
                <w:szCs w:val="20"/>
              </w:rPr>
              <w:br/>
              <w:t>- c. gross negligence;</w:t>
            </w:r>
            <w:r w:rsidRPr="004B0DF5">
              <w:rPr>
                <w:sz w:val="20"/>
                <w:szCs w:val="20"/>
              </w:rPr>
              <w:br/>
              <w:t>- d. willful misconduct;</w:t>
            </w:r>
            <w:r w:rsidRPr="004B0DF5">
              <w:rPr>
                <w:sz w:val="20"/>
                <w:szCs w:val="20"/>
              </w:rPr>
              <w:br/>
              <w:t>- e. infringement claims arising from breach of intellectual property;</w:t>
            </w:r>
            <w:r w:rsidRPr="004B0DF5">
              <w:rPr>
                <w:sz w:val="20"/>
                <w:szCs w:val="20"/>
              </w:rPr>
              <w:br/>
              <w:t>- f. breach of confidentiality obligations; and</w:t>
            </w:r>
            <w:r w:rsidRPr="004B0DF5">
              <w:rPr>
                <w:sz w:val="20"/>
                <w:szCs w:val="20"/>
              </w:rPr>
              <w:br/>
              <w:t>- g. breach of personal data related provisions.</w:t>
            </w:r>
            <w:r w:rsidRPr="004B0DF5">
              <w:rPr>
                <w:sz w:val="20"/>
                <w:szCs w:val="20"/>
              </w:rPr>
              <w:br/>
              <w:t>- h. Injury/death of personnel or third party</w:t>
            </w:r>
            <w:r w:rsidRPr="004B0DF5">
              <w:rPr>
                <w:sz w:val="20"/>
                <w:szCs w:val="20"/>
              </w:rPr>
              <w:br/>
              <w:t>- 4. Consequential Loss means, any (a) indirect, consequential or special loss or damage, or (b) direct or indirect loss of:</w:t>
            </w:r>
            <w:r w:rsidRPr="004B0DF5">
              <w:rPr>
                <w:sz w:val="20"/>
                <w:szCs w:val="20"/>
              </w:rPr>
              <w:br/>
              <w:t>- a. revenue or profits;</w:t>
            </w:r>
            <w:r w:rsidRPr="004B0DF5">
              <w:rPr>
                <w:sz w:val="20"/>
                <w:szCs w:val="20"/>
              </w:rPr>
              <w:br/>
              <w:t>- b. anticipated savings;</w:t>
            </w:r>
            <w:r w:rsidRPr="004B0DF5">
              <w:rPr>
                <w:sz w:val="20"/>
                <w:szCs w:val="20"/>
              </w:rPr>
              <w:br/>
              <w:t>- c. goodwill or injury to reputation;</w:t>
            </w:r>
            <w:r w:rsidRPr="004B0DF5">
              <w:rPr>
                <w:sz w:val="20"/>
                <w:szCs w:val="20"/>
              </w:rPr>
              <w:br/>
              <w:t>- d. business opportunity; or</w:t>
            </w:r>
            <w:r w:rsidRPr="004B0DF5">
              <w:rPr>
                <w:sz w:val="20"/>
                <w:szCs w:val="20"/>
              </w:rPr>
              <w:br/>
              <w:t>- e. corruption to data;</w:t>
            </w:r>
            <w:r w:rsidRPr="004B0DF5">
              <w:rPr>
                <w:sz w:val="20"/>
                <w:szCs w:val="20"/>
              </w:rPr>
              <w:br/>
              <w:t>- f. use or opportunity;</w:t>
            </w:r>
            <w:r w:rsidRPr="004B0DF5">
              <w:rPr>
                <w:sz w:val="20"/>
                <w:szCs w:val="20"/>
              </w:rPr>
              <w:br/>
              <w:t>- g. financing or bonding capacity;</w:t>
            </w:r>
            <w:r w:rsidRPr="004B0DF5">
              <w:rPr>
                <w:sz w:val="20"/>
                <w:szCs w:val="20"/>
              </w:rPr>
              <w:br/>
              <w:t xml:space="preserve">- h. </w:t>
            </w:r>
            <w:proofErr w:type="spellStart"/>
            <w:r w:rsidRPr="004B0DF5">
              <w:rPr>
                <w:sz w:val="20"/>
                <w:szCs w:val="20"/>
              </w:rPr>
              <w:t>oss</w:t>
            </w:r>
            <w:proofErr w:type="spellEnd"/>
            <w:r w:rsidRPr="004B0DF5">
              <w:rPr>
                <w:sz w:val="20"/>
                <w:szCs w:val="20"/>
              </w:rPr>
              <w:t xml:space="preserve"> of product or production;</w:t>
            </w:r>
            <w:r w:rsidRPr="004B0DF5">
              <w:rPr>
                <w:sz w:val="20"/>
                <w:szCs w:val="20"/>
              </w:rPr>
              <w:br/>
              <w:t xml:space="preserve">- </w:t>
            </w:r>
            <w:proofErr w:type="spellStart"/>
            <w:r w:rsidRPr="004B0DF5">
              <w:rPr>
                <w:sz w:val="20"/>
                <w:szCs w:val="20"/>
              </w:rPr>
              <w:t>i</w:t>
            </w:r>
            <w:proofErr w:type="spellEnd"/>
            <w:r w:rsidRPr="004B0DF5">
              <w:rPr>
                <w:sz w:val="20"/>
                <w:szCs w:val="20"/>
              </w:rPr>
              <w:t>. concession or production sharing agreement;</w:t>
            </w:r>
            <w:r w:rsidRPr="004B0DF5">
              <w:rPr>
                <w:sz w:val="20"/>
                <w:szCs w:val="20"/>
              </w:rPr>
              <w:br/>
              <w:t>- j. business interruptions; or</w:t>
            </w:r>
            <w:r w:rsidRPr="004B0DF5">
              <w:rPr>
                <w:sz w:val="20"/>
                <w:szCs w:val="20"/>
              </w:rPr>
              <w:br/>
              <w:t>- k. principal office expenses including compensation of personnel stationed there,</w:t>
            </w:r>
            <w:r w:rsidRPr="004B0DF5">
              <w:rPr>
                <w:sz w:val="20"/>
                <w:szCs w:val="20"/>
              </w:rPr>
              <w:br/>
              <w:t xml:space="preserve">- 5. The consequential losses to be expressly </w:t>
            </w:r>
            <w:r w:rsidRPr="004B0DF5">
              <w:rPr>
                <w:sz w:val="20"/>
                <w:szCs w:val="20"/>
              </w:rPr>
              <w:lastRenderedPageBreak/>
              <w:t>excluded. In case where governing law is India - exclusion of consequential losses can be dropped off provided you have not agreed to any indirect or consequential losses in any indemnity clause or any other part of the agreement. As per Indian law, unless specifically agreed to enforce consequential losses, parties cannot claim indirect losses.</w:t>
            </w:r>
            <w:r w:rsidRPr="004B0DF5">
              <w:rPr>
                <w:sz w:val="20"/>
                <w:szCs w:val="20"/>
              </w:rPr>
              <w:br/>
              <w:t xml:space="preserve">- 6. Further, loss of profit and other economic losses can be direct losses depending on the remoteness of the act that has resulted in the losses - therefore it is preferable </w:t>
            </w:r>
            <w:proofErr w:type="gramStart"/>
            <w:r w:rsidRPr="004B0DF5">
              <w:rPr>
                <w:sz w:val="20"/>
                <w:szCs w:val="20"/>
              </w:rPr>
              <w:t>that,</w:t>
            </w:r>
            <w:proofErr w:type="gramEnd"/>
            <w:r w:rsidRPr="004B0DF5">
              <w:rPr>
                <w:sz w:val="20"/>
                <w:szCs w:val="20"/>
              </w:rPr>
              <w:t xml:space="preserve"> this clause should be included.</w:t>
            </w:r>
          </w:p>
        </w:tc>
        <w:tc>
          <w:tcPr>
            <w:tcW w:w="4401" w:type="dxa"/>
            <w:tcBorders>
              <w:top w:val="single" w:sz="4" w:space="0" w:color="auto"/>
              <w:left w:val="single" w:sz="4" w:space="0" w:color="auto"/>
              <w:bottom w:val="single" w:sz="4" w:space="0" w:color="auto"/>
              <w:right w:val="single" w:sz="4" w:space="0" w:color="auto"/>
            </w:tcBorders>
            <w:hideMark/>
          </w:tcPr>
          <w:p w14:paraId="4EBB19EE" w14:textId="77777777" w:rsidR="004B0DF5" w:rsidRPr="004B0DF5" w:rsidRDefault="004B0DF5" w:rsidP="004B0DF5">
            <w:pPr>
              <w:spacing w:after="200" w:line="276" w:lineRule="auto"/>
              <w:rPr>
                <w:sz w:val="20"/>
                <w:szCs w:val="20"/>
              </w:rPr>
            </w:pPr>
            <w:r w:rsidRPr="004B0DF5">
              <w:rPr>
                <w:b/>
                <w:bCs/>
                <w:sz w:val="20"/>
                <w:szCs w:val="20"/>
              </w:rPr>
              <w:lastRenderedPageBreak/>
              <w:t>Position 1</w:t>
            </w:r>
            <w:r w:rsidRPr="004B0DF5">
              <w:rPr>
                <w:sz w:val="20"/>
                <w:szCs w:val="20"/>
              </w:rPr>
              <w:br/>
              <w:t>Notwithstanding anything to the contrary in this agreement the parties agree that neither party shall be liable for: -</w:t>
            </w:r>
            <w:r w:rsidRPr="004B0DF5">
              <w:rPr>
                <w:sz w:val="20"/>
                <w:szCs w:val="20"/>
              </w:rPr>
              <w:br/>
              <w:t>- a. any losses which are consequential, special, indirect, remote, exemplary, punitive or speculative; or</w:t>
            </w:r>
            <w:r w:rsidRPr="004B0DF5">
              <w:rPr>
                <w:sz w:val="20"/>
                <w:szCs w:val="20"/>
              </w:rPr>
              <w:br/>
              <w:t xml:space="preserve">- b. any losses or damages for loss of profits or business even if such party has been advised of </w:t>
            </w:r>
            <w:r w:rsidRPr="004B0DF5">
              <w:rPr>
                <w:sz w:val="20"/>
                <w:szCs w:val="20"/>
              </w:rPr>
              <w:lastRenderedPageBreak/>
              <w:t>the possibility of such costs or damages;</w:t>
            </w:r>
            <w:r w:rsidRPr="004B0DF5">
              <w:rPr>
                <w:sz w:val="20"/>
                <w:szCs w:val="20"/>
              </w:rPr>
              <w:br/>
              <w:t>- c. neither party’s aggregate liability arising out of or in connection with this agreement or the transactions contemplated hereby will exceed at any time 100% of the agreement value [if SOWs are being signed under the main agreement, then, 100% of the relevant SOW value under which such claim has arisen];</w:t>
            </w:r>
            <w:r w:rsidRPr="004B0DF5">
              <w:rPr>
                <w:sz w:val="20"/>
                <w:szCs w:val="20"/>
              </w:rPr>
              <w:br/>
              <w:t>- d. the supplier shall have no liability for matters outside of the scope of works; and</w:t>
            </w:r>
            <w:r w:rsidRPr="004B0DF5">
              <w:rPr>
                <w:sz w:val="20"/>
                <w:szCs w:val="20"/>
              </w:rPr>
              <w:br/>
              <w:t>- e. the supplier shall have no liability where the same arises from any acts or omissions of client/end user.</w:t>
            </w:r>
            <w:r w:rsidRPr="004B0DF5">
              <w:rPr>
                <w:sz w:val="20"/>
                <w:szCs w:val="20"/>
              </w:rPr>
              <w:br/>
            </w:r>
            <w:r w:rsidRPr="004B0DF5">
              <w:rPr>
                <w:sz w:val="20"/>
                <w:szCs w:val="20"/>
              </w:rPr>
              <w:br/>
            </w:r>
            <w:r w:rsidRPr="004B0DF5">
              <w:rPr>
                <w:b/>
                <w:bCs/>
                <w:sz w:val="20"/>
                <w:szCs w:val="20"/>
              </w:rPr>
              <w:t>Position 2</w:t>
            </w:r>
            <w:r w:rsidRPr="004B0DF5">
              <w:rPr>
                <w:sz w:val="20"/>
                <w:szCs w:val="20"/>
              </w:rPr>
              <w:br/>
              <w:t>Notwithstanding anything else to the contrary: -</w:t>
            </w:r>
            <w:r w:rsidRPr="004B0DF5">
              <w:rPr>
                <w:sz w:val="20"/>
                <w:szCs w:val="20"/>
              </w:rPr>
              <w:br/>
              <w:t>- a. Supplier’s total liability shall not exceed 100% of the Agreement value [if SOWs are being signed under the main agreement, then, 100% of the relevant SOW value under which such claim has arisen];</w:t>
            </w:r>
            <w:r w:rsidRPr="004B0DF5">
              <w:rPr>
                <w:sz w:val="20"/>
                <w:szCs w:val="20"/>
              </w:rPr>
              <w:br/>
              <w:t>- b. Neither party shall be liable for any indirect or consequential damages.</w:t>
            </w:r>
            <w:r w:rsidRPr="004B0DF5">
              <w:rPr>
                <w:sz w:val="20"/>
                <w:szCs w:val="20"/>
              </w:rPr>
              <w:br/>
            </w:r>
            <w:r w:rsidRPr="004B0DF5">
              <w:rPr>
                <w:sz w:val="20"/>
                <w:szCs w:val="20"/>
              </w:rPr>
              <w:br/>
            </w:r>
            <w:r w:rsidRPr="004B0DF5">
              <w:rPr>
                <w:b/>
                <w:bCs/>
                <w:sz w:val="20"/>
                <w:szCs w:val="20"/>
              </w:rPr>
              <w:t>Position 3</w:t>
            </w:r>
            <w:r w:rsidRPr="004B0DF5">
              <w:rPr>
                <w:sz w:val="20"/>
                <w:szCs w:val="20"/>
              </w:rPr>
              <w:br/>
              <w:t>Notwithstanding anything else to the contrary: -</w:t>
            </w:r>
            <w:r w:rsidRPr="004B0DF5">
              <w:rPr>
                <w:sz w:val="20"/>
                <w:szCs w:val="20"/>
              </w:rPr>
              <w:br/>
              <w:t>- a. Supplier’s total liability shall not exceed 100% of the Agreement value [if SOWs are being signed under the main agreement, then, 100% of the relevant SOW value under which such claim has arisen].</w:t>
            </w:r>
            <w:r w:rsidRPr="004B0DF5">
              <w:rPr>
                <w:sz w:val="20"/>
                <w:szCs w:val="20"/>
              </w:rPr>
              <w:br/>
            </w:r>
            <w:r w:rsidRPr="004B0DF5">
              <w:rPr>
                <w:sz w:val="20"/>
                <w:szCs w:val="20"/>
              </w:rPr>
              <w:lastRenderedPageBreak/>
              <w:t>- c. Neither party shall be liable for any indirect or consequential damages.</w:t>
            </w:r>
            <w:r w:rsidRPr="004B0DF5">
              <w:rPr>
                <w:sz w:val="20"/>
                <w:szCs w:val="20"/>
              </w:rPr>
              <w:br/>
              <w:t>It is okay if the cap specified in sub clause above is not applicable to claims arising from:</w:t>
            </w:r>
            <w:r w:rsidRPr="004B0DF5">
              <w:rPr>
                <w:sz w:val="20"/>
                <w:szCs w:val="20"/>
              </w:rPr>
              <w:br/>
              <w:t xml:space="preserve">- </w:t>
            </w:r>
            <w:proofErr w:type="spellStart"/>
            <w:r w:rsidRPr="004B0DF5">
              <w:rPr>
                <w:sz w:val="20"/>
                <w:szCs w:val="20"/>
              </w:rPr>
              <w:t>i</w:t>
            </w:r>
            <w:proofErr w:type="spellEnd"/>
            <w:r w:rsidRPr="004B0DF5">
              <w:rPr>
                <w:sz w:val="20"/>
                <w:szCs w:val="20"/>
              </w:rPr>
              <w:t>. breach of law;</w:t>
            </w:r>
            <w:r w:rsidRPr="004B0DF5">
              <w:rPr>
                <w:sz w:val="20"/>
                <w:szCs w:val="20"/>
              </w:rPr>
              <w:br/>
              <w:t>- ii. criminal act;</w:t>
            </w:r>
            <w:r w:rsidRPr="004B0DF5">
              <w:rPr>
                <w:sz w:val="20"/>
                <w:szCs w:val="20"/>
              </w:rPr>
              <w:br/>
              <w:t>- iii. gross negligence;</w:t>
            </w:r>
            <w:r w:rsidRPr="004B0DF5">
              <w:rPr>
                <w:sz w:val="20"/>
                <w:szCs w:val="20"/>
              </w:rPr>
              <w:br/>
              <w:t xml:space="preserve">- iv. </w:t>
            </w:r>
            <w:proofErr w:type="spellStart"/>
            <w:r w:rsidRPr="004B0DF5">
              <w:rPr>
                <w:sz w:val="20"/>
                <w:szCs w:val="20"/>
              </w:rPr>
              <w:t>wilful</w:t>
            </w:r>
            <w:proofErr w:type="spellEnd"/>
            <w:r w:rsidRPr="004B0DF5">
              <w:rPr>
                <w:sz w:val="20"/>
                <w:szCs w:val="20"/>
              </w:rPr>
              <w:t xml:space="preserve"> misconduct;</w:t>
            </w:r>
            <w:r w:rsidRPr="004B0DF5">
              <w:rPr>
                <w:sz w:val="20"/>
                <w:szCs w:val="20"/>
              </w:rPr>
              <w:br/>
              <w:t>- v. infringement claims arising from breach of intellectual property;</w:t>
            </w:r>
            <w:r w:rsidRPr="004B0DF5">
              <w:rPr>
                <w:sz w:val="20"/>
                <w:szCs w:val="20"/>
              </w:rPr>
              <w:br/>
              <w:t>- vi. breach of confidentiality obligations or breach of personal data related provisions.</w:t>
            </w:r>
            <w:r w:rsidRPr="004B0DF5">
              <w:rPr>
                <w:sz w:val="20"/>
                <w:szCs w:val="20"/>
              </w:rPr>
              <w:br/>
              <w:t>- vii. Injury/death of personnel or third party</w:t>
            </w:r>
          </w:p>
        </w:tc>
        <w:tc>
          <w:tcPr>
            <w:tcW w:w="1711" w:type="dxa"/>
            <w:tcBorders>
              <w:top w:val="single" w:sz="4" w:space="0" w:color="auto"/>
              <w:left w:val="single" w:sz="4" w:space="0" w:color="auto"/>
              <w:bottom w:val="single" w:sz="4" w:space="0" w:color="auto"/>
              <w:right w:val="single" w:sz="4" w:space="0" w:color="auto"/>
            </w:tcBorders>
            <w:hideMark/>
          </w:tcPr>
          <w:p w14:paraId="7ADE99AC" w14:textId="77777777" w:rsidR="004B0DF5" w:rsidRPr="004B0DF5" w:rsidRDefault="004B0DF5" w:rsidP="004B0DF5">
            <w:pPr>
              <w:spacing w:after="200" w:line="276" w:lineRule="auto"/>
              <w:jc w:val="both"/>
              <w:rPr>
                <w:sz w:val="20"/>
                <w:szCs w:val="20"/>
              </w:rPr>
            </w:pPr>
            <w:r w:rsidRPr="004B0DF5">
              <w:rPr>
                <w:sz w:val="20"/>
                <w:szCs w:val="20"/>
              </w:rPr>
              <w:lastRenderedPageBreak/>
              <w:t>Exceeds 100% of Contract Value – ERMC approval required</w:t>
            </w:r>
          </w:p>
        </w:tc>
      </w:tr>
      <w:tr w:rsidR="008856A3" w:rsidRPr="004B0DF5" w14:paraId="5AB6273E" w14:textId="77777777" w:rsidTr="00F87B0C">
        <w:tc>
          <w:tcPr>
            <w:tcW w:w="817" w:type="dxa"/>
            <w:tcBorders>
              <w:top w:val="single" w:sz="4" w:space="0" w:color="auto"/>
              <w:left w:val="single" w:sz="4" w:space="0" w:color="auto"/>
              <w:bottom w:val="single" w:sz="4" w:space="0" w:color="auto"/>
              <w:right w:val="single" w:sz="4" w:space="0" w:color="auto"/>
            </w:tcBorders>
            <w:hideMark/>
          </w:tcPr>
          <w:p w14:paraId="2E9BD4DC" w14:textId="611E929C" w:rsidR="004B0DF5" w:rsidRPr="004B0DF5" w:rsidRDefault="008856A3" w:rsidP="004B0DF5">
            <w:pPr>
              <w:spacing w:after="200" w:line="276" w:lineRule="auto"/>
              <w:rPr>
                <w:sz w:val="20"/>
                <w:szCs w:val="20"/>
              </w:rPr>
            </w:pPr>
            <w:r>
              <w:rPr>
                <w:sz w:val="20"/>
                <w:szCs w:val="20"/>
              </w:rPr>
              <w:lastRenderedPageBreak/>
              <w:t>2</w:t>
            </w:r>
          </w:p>
        </w:tc>
        <w:tc>
          <w:tcPr>
            <w:tcW w:w="2126" w:type="dxa"/>
            <w:tcBorders>
              <w:top w:val="single" w:sz="4" w:space="0" w:color="auto"/>
              <w:left w:val="single" w:sz="4" w:space="0" w:color="auto"/>
              <w:bottom w:val="single" w:sz="4" w:space="0" w:color="auto"/>
              <w:right w:val="single" w:sz="4" w:space="0" w:color="auto"/>
            </w:tcBorders>
            <w:hideMark/>
          </w:tcPr>
          <w:p w14:paraId="2B41D2FD" w14:textId="77777777" w:rsidR="004B0DF5" w:rsidRPr="004B0DF5" w:rsidRDefault="004B0DF5" w:rsidP="004B0DF5">
            <w:pPr>
              <w:spacing w:after="200" w:line="276" w:lineRule="auto"/>
              <w:rPr>
                <w:sz w:val="20"/>
                <w:szCs w:val="20"/>
              </w:rPr>
            </w:pPr>
            <w:r w:rsidRPr="004B0DF5">
              <w:rPr>
                <w:sz w:val="20"/>
                <w:szCs w:val="20"/>
              </w:rPr>
              <w:t>Applicable / Governing Law – Choice of Law and Jurisdiction</w:t>
            </w:r>
          </w:p>
        </w:tc>
        <w:tc>
          <w:tcPr>
            <w:tcW w:w="4121" w:type="dxa"/>
            <w:tcBorders>
              <w:top w:val="single" w:sz="4" w:space="0" w:color="auto"/>
              <w:left w:val="single" w:sz="4" w:space="0" w:color="auto"/>
              <w:bottom w:val="single" w:sz="4" w:space="0" w:color="auto"/>
              <w:right w:val="single" w:sz="4" w:space="0" w:color="auto"/>
            </w:tcBorders>
            <w:hideMark/>
          </w:tcPr>
          <w:p w14:paraId="1748104D" w14:textId="40777483" w:rsidR="004B0DF5" w:rsidRPr="004B0DF5" w:rsidRDefault="004B0DF5" w:rsidP="004B0DF5">
            <w:pPr>
              <w:spacing w:after="200" w:line="276" w:lineRule="auto"/>
              <w:rPr>
                <w:sz w:val="20"/>
                <w:szCs w:val="20"/>
              </w:rPr>
            </w:pPr>
            <w:r w:rsidRPr="004B0DF5">
              <w:rPr>
                <w:sz w:val="20"/>
                <w:szCs w:val="20"/>
              </w:rPr>
              <w:t>Entity → Governing Law / Jurisdiction</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India / Mumbai</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India / Any other city in India</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English law / Singapore city</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English Law / London</w:t>
            </w:r>
          </w:p>
        </w:tc>
        <w:tc>
          <w:tcPr>
            <w:tcW w:w="4401" w:type="dxa"/>
            <w:tcBorders>
              <w:top w:val="single" w:sz="4" w:space="0" w:color="auto"/>
              <w:left w:val="single" w:sz="4" w:space="0" w:color="auto"/>
              <w:bottom w:val="single" w:sz="4" w:space="0" w:color="auto"/>
              <w:right w:val="single" w:sz="4" w:space="0" w:color="auto"/>
            </w:tcBorders>
            <w:hideMark/>
          </w:tcPr>
          <w:p w14:paraId="42A60C06" w14:textId="233269C8" w:rsidR="004B0DF5" w:rsidRPr="004B0DF5" w:rsidRDefault="004B0DF5" w:rsidP="004B0DF5">
            <w:pPr>
              <w:spacing w:after="200" w:line="276" w:lineRule="auto"/>
              <w:rPr>
                <w:sz w:val="20"/>
                <w:szCs w:val="20"/>
              </w:rPr>
            </w:pPr>
            <w:r w:rsidRPr="004B0DF5">
              <w:rPr>
                <w:b/>
                <w:bCs/>
                <w:sz w:val="20"/>
                <w:szCs w:val="20"/>
              </w:rPr>
              <w:t xml:space="preserve">Position 1 for GNB </w:t>
            </w:r>
            <w:r w:rsidR="002A5F43">
              <w:rPr>
                <w:b/>
                <w:bCs/>
                <w:sz w:val="20"/>
                <w:szCs w:val="20"/>
              </w:rPr>
              <w:t xml:space="preserve"> </w:t>
            </w:r>
            <w:r w:rsidRPr="004B0DF5">
              <w:rPr>
                <w:sz w:val="20"/>
                <w:szCs w:val="20"/>
              </w:rPr>
              <w:br/>
              <w:t xml:space="preserve">This Agreement shall be governed by and construed in accordance with the laws </w:t>
            </w:r>
            <w:proofErr w:type="gramStart"/>
            <w:r w:rsidRPr="004B0DF5">
              <w:rPr>
                <w:sz w:val="20"/>
                <w:szCs w:val="20"/>
              </w:rPr>
              <w:t>of [•</w:t>
            </w:r>
            <w:proofErr w:type="gramEnd"/>
            <w:r w:rsidRPr="004B0DF5">
              <w:rPr>
                <w:sz w:val="20"/>
                <w:szCs w:val="20"/>
              </w:rPr>
              <w:t xml:space="preserve">] excluding its conflicts of laws rules. The parties submit to the exclusive jurisdiction of courts </w:t>
            </w:r>
            <w:proofErr w:type="gramStart"/>
            <w:r w:rsidRPr="004B0DF5">
              <w:rPr>
                <w:sz w:val="20"/>
                <w:szCs w:val="20"/>
              </w:rPr>
              <w:t>at [•</w:t>
            </w:r>
            <w:proofErr w:type="gramEnd"/>
            <w:r w:rsidRPr="004B0DF5">
              <w:rPr>
                <w:sz w:val="20"/>
                <w:szCs w:val="20"/>
              </w:rPr>
              <w:t>].</w:t>
            </w:r>
          </w:p>
        </w:tc>
        <w:tc>
          <w:tcPr>
            <w:tcW w:w="1711" w:type="dxa"/>
            <w:tcBorders>
              <w:top w:val="single" w:sz="4" w:space="0" w:color="auto"/>
              <w:left w:val="single" w:sz="4" w:space="0" w:color="auto"/>
              <w:bottom w:val="single" w:sz="4" w:space="0" w:color="auto"/>
              <w:right w:val="single" w:sz="4" w:space="0" w:color="auto"/>
            </w:tcBorders>
            <w:hideMark/>
          </w:tcPr>
          <w:p w14:paraId="772828E7" w14:textId="77777777" w:rsidR="004B0DF5" w:rsidRPr="004B0DF5" w:rsidRDefault="004B0DF5" w:rsidP="004B0DF5">
            <w:pPr>
              <w:spacing w:after="200" w:line="276" w:lineRule="auto"/>
              <w:jc w:val="both"/>
              <w:rPr>
                <w:sz w:val="20"/>
                <w:szCs w:val="20"/>
              </w:rPr>
            </w:pPr>
            <w:r w:rsidRPr="004B0DF5">
              <w:rPr>
                <w:sz w:val="20"/>
                <w:szCs w:val="20"/>
              </w:rPr>
              <w:t>Any other governing law, other than mentioned in explanation – BU Head</w:t>
            </w:r>
          </w:p>
        </w:tc>
      </w:tr>
      <w:tr w:rsidR="008856A3" w:rsidRPr="004B0DF5" w14:paraId="4FB4B967" w14:textId="77777777" w:rsidTr="00F87B0C">
        <w:tc>
          <w:tcPr>
            <w:tcW w:w="817" w:type="dxa"/>
            <w:tcBorders>
              <w:top w:val="single" w:sz="4" w:space="0" w:color="auto"/>
              <w:left w:val="single" w:sz="4" w:space="0" w:color="auto"/>
              <w:bottom w:val="single" w:sz="4" w:space="0" w:color="auto"/>
              <w:right w:val="single" w:sz="4" w:space="0" w:color="auto"/>
            </w:tcBorders>
            <w:hideMark/>
          </w:tcPr>
          <w:p w14:paraId="190C6325" w14:textId="1CB25918" w:rsidR="004B0DF5" w:rsidRPr="004B0DF5" w:rsidRDefault="008856A3" w:rsidP="004B0DF5">
            <w:pPr>
              <w:spacing w:after="200" w:line="276" w:lineRule="auto"/>
              <w:rPr>
                <w:sz w:val="20"/>
                <w:szCs w:val="20"/>
              </w:rPr>
            </w:pPr>
            <w:r>
              <w:rPr>
                <w:sz w:val="20"/>
                <w:szCs w:val="20"/>
              </w:rPr>
              <w:t>3</w:t>
            </w:r>
          </w:p>
        </w:tc>
        <w:tc>
          <w:tcPr>
            <w:tcW w:w="2126" w:type="dxa"/>
            <w:tcBorders>
              <w:top w:val="single" w:sz="4" w:space="0" w:color="auto"/>
              <w:left w:val="single" w:sz="4" w:space="0" w:color="auto"/>
              <w:bottom w:val="single" w:sz="4" w:space="0" w:color="auto"/>
              <w:right w:val="single" w:sz="4" w:space="0" w:color="auto"/>
            </w:tcBorders>
            <w:hideMark/>
          </w:tcPr>
          <w:p w14:paraId="0B445252" w14:textId="77777777" w:rsidR="004B0DF5" w:rsidRPr="004B0DF5" w:rsidRDefault="004B0DF5" w:rsidP="004B0DF5">
            <w:pPr>
              <w:spacing w:after="200" w:line="276" w:lineRule="auto"/>
              <w:rPr>
                <w:sz w:val="20"/>
                <w:szCs w:val="20"/>
              </w:rPr>
            </w:pPr>
            <w:r w:rsidRPr="004B0DF5">
              <w:rPr>
                <w:sz w:val="20"/>
                <w:szCs w:val="20"/>
              </w:rPr>
              <w:t>Dispute Resolution</w:t>
            </w:r>
          </w:p>
        </w:tc>
        <w:tc>
          <w:tcPr>
            <w:tcW w:w="4121" w:type="dxa"/>
            <w:tcBorders>
              <w:top w:val="single" w:sz="4" w:space="0" w:color="auto"/>
              <w:left w:val="single" w:sz="4" w:space="0" w:color="auto"/>
              <w:bottom w:val="single" w:sz="4" w:space="0" w:color="auto"/>
              <w:right w:val="single" w:sz="4" w:space="0" w:color="auto"/>
            </w:tcBorders>
            <w:hideMark/>
          </w:tcPr>
          <w:p w14:paraId="5716B907" w14:textId="73BE7A57" w:rsidR="004B0DF5" w:rsidRPr="004B0DF5" w:rsidRDefault="004B0DF5" w:rsidP="004B0DF5">
            <w:pPr>
              <w:spacing w:after="200" w:line="276" w:lineRule="auto"/>
              <w:rPr>
                <w:sz w:val="20"/>
                <w:szCs w:val="20"/>
              </w:rPr>
            </w:pPr>
            <w:r w:rsidRPr="004B0DF5">
              <w:rPr>
                <w:sz w:val="20"/>
                <w:szCs w:val="20"/>
              </w:rPr>
              <w:t>- 1. Arbitration is our preferred means of dispute resolution.</w:t>
            </w:r>
            <w:r w:rsidRPr="004B0DF5">
              <w:rPr>
                <w:sz w:val="20"/>
                <w:szCs w:val="20"/>
              </w:rPr>
              <w:br/>
              <w:t>- 2. It is best to include a mediation clause in addition to arbitration clause.</w:t>
            </w:r>
            <w:r w:rsidRPr="004B0DF5">
              <w:rPr>
                <w:sz w:val="20"/>
                <w:szCs w:val="20"/>
              </w:rPr>
              <w:br/>
              <w:t>- 3. Arbitration clause to include: -</w:t>
            </w:r>
            <w:r w:rsidRPr="004B0DF5">
              <w:rPr>
                <w:sz w:val="20"/>
                <w:szCs w:val="20"/>
              </w:rPr>
              <w:br/>
              <w:t>- a. Which arbitration e.g. LCIA, Indian Arbitration</w:t>
            </w:r>
            <w:r w:rsidRPr="004B0DF5">
              <w:rPr>
                <w:sz w:val="20"/>
                <w:szCs w:val="20"/>
              </w:rPr>
              <w:br/>
              <w:t>- b. No of arbitrator - sole arbitrator / 3 arbitrators</w:t>
            </w:r>
            <w:r w:rsidRPr="004B0DF5">
              <w:rPr>
                <w:sz w:val="20"/>
                <w:szCs w:val="20"/>
              </w:rPr>
              <w:br/>
              <w:t>- c. Seat of arbitration</w:t>
            </w:r>
            <w:r w:rsidRPr="004B0DF5">
              <w:rPr>
                <w:sz w:val="20"/>
                <w:szCs w:val="20"/>
              </w:rPr>
              <w:br/>
              <w:t>- d. Language of arbitration - English</w:t>
            </w:r>
            <w:r w:rsidRPr="004B0DF5">
              <w:rPr>
                <w:sz w:val="20"/>
                <w:szCs w:val="20"/>
              </w:rPr>
              <w:br/>
            </w:r>
            <w:r w:rsidRPr="004B0DF5">
              <w:rPr>
                <w:sz w:val="20"/>
                <w:szCs w:val="20"/>
              </w:rPr>
              <w:lastRenderedPageBreak/>
              <w:t>- 4. Table</w:t>
            </w:r>
            <w:r w:rsidRPr="004B0DF5">
              <w:rPr>
                <w:sz w:val="20"/>
                <w:szCs w:val="20"/>
              </w:rPr>
              <w:br/>
              <w:t>Entity → Arbitration / Seat</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Arbitration and Conciliation Act, 1996 (Indian act) / Mumbai</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Arbitration and Conciliation Act, 1996 (Indian act) / Any other place in </w:t>
            </w:r>
            <w:proofErr w:type="spellStart"/>
            <w:r w:rsidRPr="004B0DF5">
              <w:rPr>
                <w:sz w:val="20"/>
                <w:szCs w:val="20"/>
              </w:rPr>
              <w:t>india</w:t>
            </w:r>
            <w:proofErr w:type="spellEnd"/>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SIAC / Singapore city</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LCIA / London</w:t>
            </w:r>
            <w:r w:rsidRPr="004B0DF5">
              <w:rPr>
                <w:sz w:val="20"/>
                <w:szCs w:val="20"/>
              </w:rPr>
              <w:br/>
            </w:r>
            <w:proofErr w:type="spellStart"/>
            <w:r w:rsidRPr="004B0DF5">
              <w:rPr>
                <w:sz w:val="20"/>
                <w:szCs w:val="20"/>
              </w:rPr>
              <w:t>GnB</w:t>
            </w:r>
            <w:proofErr w:type="spellEnd"/>
            <w:r w:rsidRPr="004B0DF5">
              <w:rPr>
                <w:sz w:val="20"/>
                <w:szCs w:val="20"/>
              </w:rPr>
              <w:t xml:space="preserve"> </w:t>
            </w:r>
            <w:r w:rsidR="002A5F43">
              <w:rPr>
                <w:sz w:val="20"/>
                <w:szCs w:val="20"/>
              </w:rPr>
              <w:t xml:space="preserve"> </w:t>
            </w:r>
            <w:r w:rsidRPr="004B0DF5">
              <w:rPr>
                <w:sz w:val="20"/>
                <w:szCs w:val="20"/>
              </w:rPr>
              <w:t xml:space="preserve"> → ICC / Singapore/London</w:t>
            </w:r>
            <w:r w:rsidRPr="004B0DF5">
              <w:rPr>
                <w:sz w:val="20"/>
                <w:szCs w:val="20"/>
              </w:rPr>
              <w:br/>
            </w:r>
          </w:p>
        </w:tc>
        <w:tc>
          <w:tcPr>
            <w:tcW w:w="4401" w:type="dxa"/>
            <w:tcBorders>
              <w:top w:val="single" w:sz="4" w:space="0" w:color="auto"/>
              <w:left w:val="single" w:sz="4" w:space="0" w:color="auto"/>
              <w:bottom w:val="single" w:sz="4" w:space="0" w:color="auto"/>
              <w:right w:val="single" w:sz="4" w:space="0" w:color="auto"/>
            </w:tcBorders>
            <w:hideMark/>
          </w:tcPr>
          <w:p w14:paraId="1DC525F3" w14:textId="77777777" w:rsidR="004B0DF5" w:rsidRPr="004B0DF5" w:rsidRDefault="004B0DF5" w:rsidP="004B0DF5">
            <w:pPr>
              <w:spacing w:after="200" w:line="276" w:lineRule="auto"/>
              <w:rPr>
                <w:sz w:val="20"/>
                <w:szCs w:val="20"/>
              </w:rPr>
            </w:pPr>
            <w:r w:rsidRPr="004B0DF5">
              <w:rPr>
                <w:b/>
                <w:bCs/>
                <w:sz w:val="20"/>
                <w:szCs w:val="20"/>
              </w:rPr>
              <w:lastRenderedPageBreak/>
              <w:t>Position 1</w:t>
            </w:r>
            <w:r w:rsidRPr="004B0DF5">
              <w:rPr>
                <w:sz w:val="20"/>
                <w:szCs w:val="20"/>
              </w:rPr>
              <w:br/>
              <w:t xml:space="preserve">Mediation and Arbitration: In the event of a dispute arising out of or in connection with this Agreement, including any question regarding its existence, validity or termination, the parties shall first seek settlement of that dispute by mediation in accordance with Mediation in accordance with the Arbitration and Conciliation Act, 1996 (as amended). If the dispute is not settled by mediation </w:t>
            </w:r>
            <w:proofErr w:type="gramStart"/>
            <w:r w:rsidRPr="004B0DF5">
              <w:rPr>
                <w:sz w:val="20"/>
                <w:szCs w:val="20"/>
              </w:rPr>
              <w:t>within [•</w:t>
            </w:r>
            <w:proofErr w:type="gramEnd"/>
            <w:r w:rsidRPr="004B0DF5">
              <w:rPr>
                <w:sz w:val="20"/>
                <w:szCs w:val="20"/>
              </w:rPr>
              <w:t xml:space="preserve">] days of the appointment of the mediator, or such further </w:t>
            </w:r>
            <w:r w:rsidRPr="004B0DF5">
              <w:rPr>
                <w:sz w:val="20"/>
                <w:szCs w:val="20"/>
              </w:rPr>
              <w:lastRenderedPageBreak/>
              <w:t xml:space="preserve">period as the parties shall agree in writing, the dispute shall be referred to and finally resolved by arbitration under the Arbitration and Conciliation Act,1996 (As amended from time to time). The language to be used in the mediation and in the arbitration shall be English. In any arbitration commenced pursuant to this clause: - </w:t>
            </w:r>
            <w:proofErr w:type="spellStart"/>
            <w:r w:rsidRPr="004B0DF5">
              <w:rPr>
                <w:sz w:val="20"/>
                <w:szCs w:val="20"/>
              </w:rPr>
              <w:t>i</w:t>
            </w:r>
            <w:proofErr w:type="spellEnd"/>
            <w:r w:rsidRPr="004B0DF5">
              <w:rPr>
                <w:sz w:val="20"/>
                <w:szCs w:val="20"/>
              </w:rPr>
              <w:t>. the number of arbitrators shall be [•]; ii. Such arbitrator/s shall be jointly appointed by parties and iii. the seat of the arbitration shall be [•].</w:t>
            </w:r>
            <w:r w:rsidRPr="004B0DF5">
              <w:rPr>
                <w:sz w:val="20"/>
                <w:szCs w:val="20"/>
              </w:rPr>
              <w:br/>
            </w:r>
            <w:r w:rsidRPr="004B0DF5">
              <w:rPr>
                <w:sz w:val="20"/>
                <w:szCs w:val="20"/>
              </w:rPr>
              <w:br/>
            </w:r>
            <w:r w:rsidRPr="004B0DF5">
              <w:rPr>
                <w:b/>
                <w:bCs/>
                <w:sz w:val="20"/>
                <w:szCs w:val="20"/>
              </w:rPr>
              <w:t>Position 2</w:t>
            </w:r>
            <w:r w:rsidRPr="004B0DF5">
              <w:rPr>
                <w:sz w:val="20"/>
                <w:szCs w:val="20"/>
              </w:rPr>
              <w:br/>
              <w:t xml:space="preserve">Any dispute arising out of or in connection with this Agreement, including any question regarding its existence, validity or termination, shall be referred to and finally resolved by arbitration in Singapore in accordance with the Arbitration Rules of the Singapore International Arbitration Centre ("SIAC Rules") for the time being in force, which rules are deemed to be incorporated by reference in this clause. The Tribunal shall consist </w:t>
            </w:r>
            <w:proofErr w:type="gramStart"/>
            <w:r w:rsidRPr="004B0DF5">
              <w:rPr>
                <w:sz w:val="20"/>
                <w:szCs w:val="20"/>
              </w:rPr>
              <w:t>of [•</w:t>
            </w:r>
            <w:proofErr w:type="gramEnd"/>
            <w:r w:rsidRPr="004B0DF5">
              <w:rPr>
                <w:sz w:val="20"/>
                <w:szCs w:val="20"/>
              </w:rPr>
              <w:t xml:space="preserve">] </w:t>
            </w:r>
            <w:proofErr w:type="gramStart"/>
            <w:r w:rsidRPr="004B0DF5">
              <w:rPr>
                <w:sz w:val="20"/>
                <w:szCs w:val="20"/>
              </w:rPr>
              <w:t>member/s</w:t>
            </w:r>
            <w:proofErr w:type="gramEnd"/>
            <w:r w:rsidRPr="004B0DF5">
              <w:rPr>
                <w:sz w:val="20"/>
                <w:szCs w:val="20"/>
              </w:rPr>
              <w:t xml:space="preserve"> appointed jointly by Parties in accordance with SIAC Rules. The language of the arbitration shall be English.</w:t>
            </w:r>
            <w:r w:rsidRPr="004B0DF5">
              <w:rPr>
                <w:sz w:val="20"/>
                <w:szCs w:val="20"/>
              </w:rPr>
              <w:br/>
            </w:r>
            <w:r w:rsidRPr="004B0DF5">
              <w:rPr>
                <w:sz w:val="20"/>
                <w:szCs w:val="20"/>
              </w:rPr>
              <w:br/>
            </w:r>
            <w:r w:rsidRPr="004B0DF5">
              <w:rPr>
                <w:b/>
                <w:bCs/>
                <w:sz w:val="20"/>
                <w:szCs w:val="20"/>
              </w:rPr>
              <w:t>Position 3</w:t>
            </w:r>
            <w:r w:rsidRPr="004B0DF5">
              <w:rPr>
                <w:sz w:val="20"/>
                <w:szCs w:val="20"/>
              </w:rPr>
              <w:br/>
              <w:t xml:space="preserve">Any dispute arising out of or in connection with this Agreement, including any question regarding its existence, validity or termination, shall be referred to and finally resolved by arbitration under the LCIA Rules, which Rules </w:t>
            </w:r>
            <w:r w:rsidRPr="004B0DF5">
              <w:rPr>
                <w:sz w:val="20"/>
                <w:szCs w:val="20"/>
              </w:rPr>
              <w:lastRenderedPageBreak/>
              <w:t xml:space="preserve">are deemed to be incorporated by reference into this clause. The Tribunal shall consist </w:t>
            </w:r>
            <w:proofErr w:type="gramStart"/>
            <w:r w:rsidRPr="004B0DF5">
              <w:rPr>
                <w:sz w:val="20"/>
                <w:szCs w:val="20"/>
              </w:rPr>
              <w:t>of [•</w:t>
            </w:r>
            <w:proofErr w:type="gramEnd"/>
            <w:r w:rsidRPr="004B0DF5">
              <w:rPr>
                <w:sz w:val="20"/>
                <w:szCs w:val="20"/>
              </w:rPr>
              <w:t xml:space="preserve">] </w:t>
            </w:r>
            <w:proofErr w:type="gramStart"/>
            <w:r w:rsidRPr="004B0DF5">
              <w:rPr>
                <w:sz w:val="20"/>
                <w:szCs w:val="20"/>
              </w:rPr>
              <w:t>member</w:t>
            </w:r>
            <w:proofErr w:type="gramEnd"/>
            <w:r w:rsidRPr="004B0DF5">
              <w:rPr>
                <w:sz w:val="20"/>
                <w:szCs w:val="20"/>
              </w:rPr>
              <w:t>/s jointly appointed by parties in accordance with LCIA Rules. The language of the arbitration shall be English. The seat of such arbitration shall be [•].</w:t>
            </w:r>
            <w:r w:rsidRPr="004B0DF5">
              <w:rPr>
                <w:sz w:val="20"/>
                <w:szCs w:val="20"/>
              </w:rPr>
              <w:br/>
            </w:r>
            <w:r w:rsidRPr="004B0DF5">
              <w:rPr>
                <w:sz w:val="20"/>
                <w:szCs w:val="20"/>
              </w:rPr>
              <w:br/>
            </w:r>
            <w:r w:rsidRPr="004B0DF5">
              <w:rPr>
                <w:b/>
                <w:bCs/>
                <w:sz w:val="20"/>
                <w:szCs w:val="20"/>
              </w:rPr>
              <w:t>FOR Godrej Americas</w:t>
            </w:r>
            <w:r w:rsidRPr="004B0DF5">
              <w:rPr>
                <w:sz w:val="20"/>
                <w:szCs w:val="20"/>
              </w:rPr>
              <w:br/>
              <w:t xml:space="preserve">In the event of any dispute, claim or controversy between or among the parties to this Agreement arising out of or relating to this Agreement or any breach thereof, such dispute shall be administered by a jointly appointed sole arbitrator in New York, in accordance with the American Arbitration Association’s Commercial Arbitration Rules. The arbitrability of any such dispute shall likewise be determined in such arbitration. Such arbitration </w:t>
            </w:r>
            <w:proofErr w:type="gramStart"/>
            <w:r w:rsidRPr="004B0DF5">
              <w:rPr>
                <w:sz w:val="20"/>
                <w:szCs w:val="20"/>
              </w:rPr>
              <w:t>proceeding</w:t>
            </w:r>
            <w:proofErr w:type="gramEnd"/>
            <w:r w:rsidRPr="004B0DF5">
              <w:rPr>
                <w:sz w:val="20"/>
                <w:szCs w:val="20"/>
              </w:rPr>
              <w:t xml:space="preserve"> shall be conducted in as expedited </w:t>
            </w:r>
            <w:proofErr w:type="gramStart"/>
            <w:r w:rsidRPr="004B0DF5">
              <w:rPr>
                <w:sz w:val="20"/>
                <w:szCs w:val="20"/>
              </w:rPr>
              <w:t>a manner</w:t>
            </w:r>
            <w:proofErr w:type="gramEnd"/>
            <w:r w:rsidRPr="004B0DF5">
              <w:rPr>
                <w:sz w:val="20"/>
                <w:szCs w:val="20"/>
              </w:rPr>
              <w:t xml:space="preserve"> as is then permitted by the commercial arbitration rules. Both the foregoing agreement of the parties to this Agreement to arbitrate </w:t>
            </w:r>
            <w:proofErr w:type="gramStart"/>
            <w:r w:rsidRPr="004B0DF5">
              <w:rPr>
                <w:sz w:val="20"/>
                <w:szCs w:val="20"/>
              </w:rPr>
              <w:t>any and all</w:t>
            </w:r>
            <w:proofErr w:type="gramEnd"/>
            <w:r w:rsidRPr="004B0DF5">
              <w:rPr>
                <w:sz w:val="20"/>
                <w:szCs w:val="20"/>
              </w:rPr>
              <w:t xml:space="preserve"> such disputes, claims and controversies and the results, determinations, findings, judgments and/or awards rendered through any such arbitration shall be final and binding on the parties hereto and may be specifically enforced by legal proceedings.</w:t>
            </w:r>
          </w:p>
        </w:tc>
        <w:tc>
          <w:tcPr>
            <w:tcW w:w="1711" w:type="dxa"/>
            <w:tcBorders>
              <w:top w:val="single" w:sz="4" w:space="0" w:color="auto"/>
              <w:left w:val="single" w:sz="4" w:space="0" w:color="auto"/>
              <w:bottom w:val="single" w:sz="4" w:space="0" w:color="auto"/>
              <w:right w:val="single" w:sz="4" w:space="0" w:color="auto"/>
            </w:tcBorders>
            <w:hideMark/>
          </w:tcPr>
          <w:p w14:paraId="2F4D9E0A" w14:textId="77777777" w:rsidR="004B0DF5" w:rsidRPr="004B0DF5" w:rsidRDefault="004B0DF5" w:rsidP="004B0DF5">
            <w:pPr>
              <w:spacing w:after="200" w:line="276" w:lineRule="auto"/>
              <w:jc w:val="both"/>
              <w:rPr>
                <w:sz w:val="20"/>
                <w:szCs w:val="20"/>
              </w:rPr>
            </w:pPr>
            <w:r w:rsidRPr="004B0DF5">
              <w:rPr>
                <w:sz w:val="20"/>
                <w:szCs w:val="20"/>
              </w:rPr>
              <w:lastRenderedPageBreak/>
              <w:t>Legal Team to decide</w:t>
            </w:r>
          </w:p>
        </w:tc>
      </w:tr>
      <w:tr w:rsidR="008856A3" w:rsidRPr="004B0DF5" w14:paraId="44583E8D" w14:textId="77777777" w:rsidTr="00F87B0C">
        <w:tc>
          <w:tcPr>
            <w:tcW w:w="817" w:type="dxa"/>
            <w:tcBorders>
              <w:top w:val="single" w:sz="4" w:space="0" w:color="auto"/>
              <w:left w:val="single" w:sz="4" w:space="0" w:color="auto"/>
              <w:bottom w:val="single" w:sz="4" w:space="0" w:color="auto"/>
              <w:right w:val="single" w:sz="4" w:space="0" w:color="auto"/>
            </w:tcBorders>
            <w:hideMark/>
          </w:tcPr>
          <w:p w14:paraId="6339811A" w14:textId="79B3A26A" w:rsidR="004B0DF5" w:rsidRPr="004B0DF5" w:rsidRDefault="008856A3" w:rsidP="004B0DF5">
            <w:pPr>
              <w:spacing w:after="200" w:line="276" w:lineRule="auto"/>
              <w:rPr>
                <w:sz w:val="20"/>
                <w:szCs w:val="20"/>
              </w:rPr>
            </w:pPr>
            <w:r>
              <w:rPr>
                <w:sz w:val="20"/>
                <w:szCs w:val="20"/>
              </w:rPr>
              <w:lastRenderedPageBreak/>
              <w:t>4</w:t>
            </w:r>
          </w:p>
        </w:tc>
        <w:tc>
          <w:tcPr>
            <w:tcW w:w="2126" w:type="dxa"/>
            <w:tcBorders>
              <w:top w:val="single" w:sz="4" w:space="0" w:color="auto"/>
              <w:left w:val="single" w:sz="4" w:space="0" w:color="auto"/>
              <w:bottom w:val="single" w:sz="4" w:space="0" w:color="auto"/>
              <w:right w:val="single" w:sz="4" w:space="0" w:color="auto"/>
            </w:tcBorders>
            <w:hideMark/>
          </w:tcPr>
          <w:p w14:paraId="301AB6BC" w14:textId="77777777" w:rsidR="004B0DF5" w:rsidRPr="004B0DF5" w:rsidRDefault="004B0DF5" w:rsidP="004B0DF5">
            <w:pPr>
              <w:spacing w:after="200" w:line="276" w:lineRule="auto"/>
              <w:rPr>
                <w:sz w:val="20"/>
                <w:szCs w:val="20"/>
              </w:rPr>
            </w:pPr>
            <w:r w:rsidRPr="004B0DF5">
              <w:rPr>
                <w:sz w:val="20"/>
                <w:szCs w:val="20"/>
              </w:rPr>
              <w:t>Firm Price</w:t>
            </w:r>
          </w:p>
        </w:tc>
        <w:tc>
          <w:tcPr>
            <w:tcW w:w="4121" w:type="dxa"/>
            <w:tcBorders>
              <w:top w:val="single" w:sz="4" w:space="0" w:color="auto"/>
              <w:left w:val="single" w:sz="4" w:space="0" w:color="auto"/>
              <w:bottom w:val="single" w:sz="4" w:space="0" w:color="auto"/>
              <w:right w:val="single" w:sz="4" w:space="0" w:color="auto"/>
            </w:tcBorders>
            <w:hideMark/>
          </w:tcPr>
          <w:p w14:paraId="0BE1208B" w14:textId="77777777" w:rsidR="004B0DF5" w:rsidRPr="004B0DF5" w:rsidRDefault="004B0DF5" w:rsidP="004B0DF5">
            <w:pPr>
              <w:spacing w:after="200" w:line="276" w:lineRule="auto"/>
              <w:rPr>
                <w:sz w:val="20"/>
                <w:szCs w:val="20"/>
              </w:rPr>
            </w:pPr>
            <w:r w:rsidRPr="004B0DF5">
              <w:rPr>
                <w:sz w:val="20"/>
                <w:szCs w:val="20"/>
              </w:rPr>
              <w:t>- 1. The client would want the prices to be firm for the entire duration of the project and not for fixed number of years.</w:t>
            </w:r>
            <w:r w:rsidRPr="004B0DF5">
              <w:rPr>
                <w:sz w:val="20"/>
                <w:szCs w:val="20"/>
              </w:rPr>
              <w:br/>
            </w:r>
            <w:r w:rsidRPr="004B0DF5">
              <w:rPr>
                <w:sz w:val="20"/>
                <w:szCs w:val="20"/>
              </w:rPr>
              <w:lastRenderedPageBreak/>
              <w:t>- 2. We need to have an option for price escalation on following grounds:</w:t>
            </w:r>
            <w:r w:rsidRPr="004B0DF5">
              <w:rPr>
                <w:sz w:val="20"/>
                <w:szCs w:val="20"/>
              </w:rPr>
              <w:br/>
              <w:t>- a. Expiry of fixed period;</w:t>
            </w:r>
            <w:r w:rsidRPr="004B0DF5">
              <w:rPr>
                <w:sz w:val="20"/>
                <w:szCs w:val="20"/>
              </w:rPr>
              <w:br/>
              <w:t xml:space="preserve">- b. Delay not attributable to </w:t>
            </w:r>
            <w:proofErr w:type="spellStart"/>
            <w:r w:rsidRPr="004B0DF5">
              <w:rPr>
                <w:sz w:val="20"/>
                <w:szCs w:val="20"/>
              </w:rPr>
              <w:t>GnB</w:t>
            </w:r>
            <w:proofErr w:type="spellEnd"/>
            <w:r w:rsidRPr="004B0DF5">
              <w:rPr>
                <w:sz w:val="20"/>
                <w:szCs w:val="20"/>
              </w:rPr>
              <w:t>;</w:t>
            </w:r>
            <w:r w:rsidRPr="004B0DF5">
              <w:rPr>
                <w:sz w:val="20"/>
                <w:szCs w:val="20"/>
              </w:rPr>
              <w:br/>
              <w:t>- c. Change in law</w:t>
            </w:r>
            <w:r w:rsidRPr="004B0DF5">
              <w:rPr>
                <w:sz w:val="20"/>
                <w:szCs w:val="20"/>
              </w:rPr>
              <w:br/>
              <w:t xml:space="preserve">- iii. Change in cost of raw </w:t>
            </w:r>
            <w:proofErr w:type="gramStart"/>
            <w:r w:rsidRPr="004B0DF5">
              <w:rPr>
                <w:sz w:val="20"/>
                <w:szCs w:val="20"/>
              </w:rPr>
              <w:t>material</w:t>
            </w:r>
            <w:proofErr w:type="gramEnd"/>
            <w:r w:rsidRPr="004B0DF5">
              <w:rPr>
                <w:sz w:val="20"/>
                <w:szCs w:val="20"/>
              </w:rPr>
              <w:t xml:space="preserve"> and other costs.</w:t>
            </w:r>
          </w:p>
        </w:tc>
        <w:tc>
          <w:tcPr>
            <w:tcW w:w="4401" w:type="dxa"/>
            <w:tcBorders>
              <w:top w:val="single" w:sz="4" w:space="0" w:color="auto"/>
              <w:left w:val="single" w:sz="4" w:space="0" w:color="auto"/>
              <w:bottom w:val="single" w:sz="4" w:space="0" w:color="auto"/>
              <w:right w:val="single" w:sz="4" w:space="0" w:color="auto"/>
            </w:tcBorders>
            <w:hideMark/>
          </w:tcPr>
          <w:p w14:paraId="56AA2A98" w14:textId="77777777" w:rsidR="004B0DF5" w:rsidRPr="004B0DF5" w:rsidRDefault="004B0DF5" w:rsidP="004B0DF5">
            <w:pPr>
              <w:spacing w:after="200" w:line="276" w:lineRule="auto"/>
              <w:rPr>
                <w:sz w:val="20"/>
                <w:szCs w:val="20"/>
              </w:rPr>
            </w:pPr>
            <w:r w:rsidRPr="004B0DF5">
              <w:rPr>
                <w:b/>
                <w:bCs/>
                <w:sz w:val="20"/>
                <w:szCs w:val="20"/>
              </w:rPr>
              <w:lastRenderedPageBreak/>
              <w:t>Position 1</w:t>
            </w:r>
            <w:r w:rsidRPr="004B0DF5">
              <w:rPr>
                <w:sz w:val="20"/>
                <w:szCs w:val="20"/>
              </w:rPr>
              <w:br/>
              <w:t xml:space="preserve">The Agreement price shall remain firm and fixed and shall not be subject to any escalation during </w:t>
            </w:r>
            <w:r w:rsidRPr="004B0DF5">
              <w:rPr>
                <w:sz w:val="20"/>
                <w:szCs w:val="20"/>
              </w:rPr>
              <w:lastRenderedPageBreak/>
              <w:t>the performance of the Agreement by the Supplier for any reason other than: -</w:t>
            </w:r>
            <w:r w:rsidRPr="004B0DF5">
              <w:rPr>
                <w:sz w:val="20"/>
                <w:szCs w:val="20"/>
              </w:rPr>
              <w:br/>
              <w:t xml:space="preserve">- </w:t>
            </w:r>
            <w:proofErr w:type="spellStart"/>
            <w:r w:rsidRPr="004B0DF5">
              <w:rPr>
                <w:sz w:val="20"/>
                <w:szCs w:val="20"/>
              </w:rPr>
              <w:t>i</w:t>
            </w:r>
            <w:proofErr w:type="spellEnd"/>
            <w:r w:rsidRPr="004B0DF5">
              <w:rPr>
                <w:sz w:val="20"/>
                <w:szCs w:val="20"/>
              </w:rPr>
              <w:t>. A change order in accordance with the Agreement.</w:t>
            </w:r>
            <w:r w:rsidRPr="004B0DF5">
              <w:rPr>
                <w:sz w:val="20"/>
                <w:szCs w:val="20"/>
              </w:rPr>
              <w:br/>
              <w:t>- ii. Change in law, including any change in taxes or other increase resulting from governmental orders.</w:t>
            </w:r>
            <w:r w:rsidRPr="004B0DF5">
              <w:rPr>
                <w:sz w:val="20"/>
                <w:szCs w:val="20"/>
              </w:rPr>
              <w:br/>
              <w:t>- iii. Change in cost of raw material and other costs.</w:t>
            </w:r>
            <w:r w:rsidRPr="004B0DF5">
              <w:rPr>
                <w:sz w:val="20"/>
                <w:szCs w:val="20"/>
              </w:rPr>
              <w:br/>
            </w:r>
            <w:r w:rsidRPr="004B0DF5">
              <w:rPr>
                <w:sz w:val="20"/>
                <w:szCs w:val="20"/>
              </w:rPr>
              <w:br/>
            </w:r>
            <w:r w:rsidRPr="004B0DF5">
              <w:rPr>
                <w:b/>
                <w:bCs/>
                <w:sz w:val="20"/>
                <w:szCs w:val="20"/>
              </w:rPr>
              <w:t>Position 2</w:t>
            </w:r>
            <w:r w:rsidRPr="004B0DF5">
              <w:rPr>
                <w:sz w:val="20"/>
                <w:szCs w:val="20"/>
              </w:rPr>
              <w:br/>
              <w:t>The Agreement price shall remain firm and fixed for a period of [•] years and shall be re-negotiated after expiry of such period.</w:t>
            </w:r>
            <w:r w:rsidRPr="004B0DF5">
              <w:rPr>
                <w:sz w:val="20"/>
                <w:szCs w:val="20"/>
              </w:rPr>
              <w:br/>
            </w:r>
            <w:r w:rsidRPr="004B0DF5">
              <w:rPr>
                <w:sz w:val="20"/>
                <w:szCs w:val="20"/>
              </w:rPr>
              <w:br/>
            </w:r>
            <w:r w:rsidRPr="004B0DF5">
              <w:rPr>
                <w:b/>
                <w:bCs/>
                <w:sz w:val="20"/>
                <w:szCs w:val="20"/>
              </w:rPr>
              <w:t>Position 3</w:t>
            </w:r>
            <w:r w:rsidRPr="004B0DF5">
              <w:rPr>
                <w:sz w:val="20"/>
                <w:szCs w:val="20"/>
              </w:rPr>
              <w:br/>
              <w:t>The Agreement price shall remain firm and fixed and shall not be subject to any escalation during the performance of the Agreement by the Supplier for any reason whatsoever.</w:t>
            </w:r>
          </w:p>
        </w:tc>
        <w:tc>
          <w:tcPr>
            <w:tcW w:w="1711" w:type="dxa"/>
            <w:tcBorders>
              <w:top w:val="single" w:sz="4" w:space="0" w:color="auto"/>
              <w:left w:val="single" w:sz="4" w:space="0" w:color="auto"/>
              <w:bottom w:val="single" w:sz="4" w:space="0" w:color="auto"/>
              <w:right w:val="single" w:sz="4" w:space="0" w:color="auto"/>
            </w:tcBorders>
            <w:hideMark/>
          </w:tcPr>
          <w:p w14:paraId="5930E89A" w14:textId="41428DE5" w:rsidR="004B0DF5" w:rsidRPr="004B0DF5" w:rsidRDefault="003F770A" w:rsidP="004B0DF5">
            <w:pPr>
              <w:spacing w:after="200" w:line="276" w:lineRule="auto"/>
              <w:jc w:val="both"/>
              <w:rPr>
                <w:sz w:val="20"/>
                <w:szCs w:val="20"/>
              </w:rPr>
            </w:pPr>
            <w:r w:rsidRPr="008E78D4">
              <w:rPr>
                <w:b/>
                <w:bCs/>
                <w:sz w:val="20"/>
                <w:szCs w:val="20"/>
              </w:rPr>
              <w:lastRenderedPageBreak/>
              <w:t>ERMC</w:t>
            </w:r>
            <w:r>
              <w:rPr>
                <w:sz w:val="20"/>
                <w:szCs w:val="20"/>
              </w:rPr>
              <w:t xml:space="preserve"> if Term &gt; 2 Years / </w:t>
            </w:r>
            <w:r w:rsidR="008E78D4">
              <w:rPr>
                <w:sz w:val="20"/>
                <w:szCs w:val="20"/>
              </w:rPr>
              <w:t xml:space="preserve">Value &gt; </w:t>
            </w:r>
            <w:r w:rsidR="008E78D4">
              <w:rPr>
                <w:sz w:val="20"/>
                <w:szCs w:val="20"/>
              </w:rPr>
              <w:lastRenderedPageBreak/>
              <w:t>25cr.</w:t>
            </w:r>
          </w:p>
        </w:tc>
      </w:tr>
      <w:tr w:rsidR="008856A3" w:rsidRPr="004B0DF5" w14:paraId="620C6AF2" w14:textId="77777777" w:rsidTr="00F87B0C">
        <w:tc>
          <w:tcPr>
            <w:tcW w:w="817" w:type="dxa"/>
            <w:tcBorders>
              <w:top w:val="single" w:sz="4" w:space="0" w:color="auto"/>
              <w:left w:val="single" w:sz="4" w:space="0" w:color="auto"/>
              <w:bottom w:val="single" w:sz="4" w:space="0" w:color="auto"/>
              <w:right w:val="single" w:sz="4" w:space="0" w:color="auto"/>
            </w:tcBorders>
            <w:hideMark/>
          </w:tcPr>
          <w:p w14:paraId="08648290" w14:textId="476C3FB3" w:rsidR="004B0DF5" w:rsidRPr="004B0DF5" w:rsidRDefault="008856A3" w:rsidP="004B0DF5">
            <w:pPr>
              <w:spacing w:after="200" w:line="276" w:lineRule="auto"/>
              <w:rPr>
                <w:sz w:val="20"/>
                <w:szCs w:val="20"/>
              </w:rPr>
            </w:pPr>
            <w:r>
              <w:rPr>
                <w:sz w:val="20"/>
                <w:szCs w:val="20"/>
              </w:rPr>
              <w:t>5</w:t>
            </w:r>
          </w:p>
        </w:tc>
        <w:tc>
          <w:tcPr>
            <w:tcW w:w="2126" w:type="dxa"/>
            <w:tcBorders>
              <w:top w:val="single" w:sz="4" w:space="0" w:color="auto"/>
              <w:left w:val="single" w:sz="4" w:space="0" w:color="auto"/>
              <w:bottom w:val="single" w:sz="4" w:space="0" w:color="auto"/>
              <w:right w:val="single" w:sz="4" w:space="0" w:color="auto"/>
            </w:tcBorders>
            <w:hideMark/>
          </w:tcPr>
          <w:p w14:paraId="12F191E7" w14:textId="77777777" w:rsidR="004B0DF5" w:rsidRPr="004B0DF5" w:rsidRDefault="004B0DF5" w:rsidP="004B0DF5">
            <w:pPr>
              <w:spacing w:after="200" w:line="276" w:lineRule="auto"/>
              <w:rPr>
                <w:sz w:val="20"/>
                <w:szCs w:val="20"/>
              </w:rPr>
            </w:pPr>
            <w:r w:rsidRPr="004B0DF5">
              <w:rPr>
                <w:sz w:val="20"/>
                <w:szCs w:val="20"/>
              </w:rPr>
              <w:t>Force Majeure</w:t>
            </w:r>
          </w:p>
        </w:tc>
        <w:tc>
          <w:tcPr>
            <w:tcW w:w="4121" w:type="dxa"/>
            <w:tcBorders>
              <w:top w:val="single" w:sz="4" w:space="0" w:color="auto"/>
              <w:left w:val="single" w:sz="4" w:space="0" w:color="auto"/>
              <w:bottom w:val="single" w:sz="4" w:space="0" w:color="auto"/>
              <w:right w:val="single" w:sz="4" w:space="0" w:color="auto"/>
            </w:tcBorders>
            <w:hideMark/>
          </w:tcPr>
          <w:p w14:paraId="5876F840" w14:textId="77777777" w:rsidR="004B0DF5" w:rsidRPr="004B0DF5" w:rsidRDefault="004B0DF5" w:rsidP="004B0DF5">
            <w:pPr>
              <w:spacing w:after="200" w:line="276" w:lineRule="auto"/>
              <w:rPr>
                <w:sz w:val="20"/>
                <w:szCs w:val="20"/>
              </w:rPr>
            </w:pPr>
            <w:r w:rsidRPr="004B0DF5">
              <w:rPr>
                <w:sz w:val="20"/>
                <w:szCs w:val="20"/>
              </w:rPr>
              <w:t>- 1. Force majeure event to be defined to include Epidemic, restrictions from government, any other act beyond control of parties.</w:t>
            </w:r>
            <w:r w:rsidRPr="004B0DF5">
              <w:rPr>
                <w:sz w:val="20"/>
                <w:szCs w:val="20"/>
              </w:rPr>
              <w:br/>
              <w:t>- 2. Notice period and mode to be defined</w:t>
            </w:r>
            <w:r w:rsidRPr="004B0DF5">
              <w:rPr>
                <w:sz w:val="20"/>
                <w:szCs w:val="20"/>
              </w:rPr>
              <w:br/>
              <w:t>- 3. Payment for goods delivered or service performed shall not be excused from force majeure. Economic Hardships to be expressly excluded from definition.</w:t>
            </w:r>
            <w:r w:rsidRPr="004B0DF5">
              <w:rPr>
                <w:sz w:val="20"/>
                <w:szCs w:val="20"/>
              </w:rPr>
              <w:br/>
              <w:t xml:space="preserve">- 4. In case where FM continues for more than 120 days, parties shall jointly decide on </w:t>
            </w:r>
            <w:r w:rsidRPr="004B0DF5">
              <w:rPr>
                <w:sz w:val="20"/>
                <w:szCs w:val="20"/>
              </w:rPr>
              <w:lastRenderedPageBreak/>
              <w:t>future course of action</w:t>
            </w:r>
            <w:r w:rsidRPr="004B0DF5">
              <w:rPr>
                <w:sz w:val="20"/>
                <w:szCs w:val="20"/>
              </w:rPr>
              <w:br/>
              <w:t>- 5. Each party shall bear its own losses arising due to FM.</w:t>
            </w:r>
            <w:r w:rsidRPr="004B0DF5">
              <w:rPr>
                <w:sz w:val="20"/>
                <w:szCs w:val="20"/>
              </w:rPr>
              <w:br/>
              <w:t>- 6. Termination due to FM should be avoided.</w:t>
            </w:r>
          </w:p>
        </w:tc>
        <w:tc>
          <w:tcPr>
            <w:tcW w:w="4401" w:type="dxa"/>
            <w:tcBorders>
              <w:top w:val="single" w:sz="4" w:space="0" w:color="auto"/>
              <w:left w:val="single" w:sz="4" w:space="0" w:color="auto"/>
              <w:bottom w:val="single" w:sz="4" w:space="0" w:color="auto"/>
              <w:right w:val="single" w:sz="4" w:space="0" w:color="auto"/>
            </w:tcBorders>
            <w:hideMark/>
          </w:tcPr>
          <w:p w14:paraId="671E84F7" w14:textId="77777777" w:rsidR="004B0DF5" w:rsidRPr="004B0DF5" w:rsidRDefault="004B0DF5" w:rsidP="004B0DF5">
            <w:pPr>
              <w:spacing w:after="200" w:line="276" w:lineRule="auto"/>
              <w:rPr>
                <w:sz w:val="20"/>
                <w:szCs w:val="20"/>
              </w:rPr>
            </w:pPr>
            <w:r w:rsidRPr="004B0DF5">
              <w:rPr>
                <w:b/>
                <w:bCs/>
                <w:sz w:val="20"/>
                <w:szCs w:val="20"/>
              </w:rPr>
              <w:lastRenderedPageBreak/>
              <w:t>Position 1</w:t>
            </w:r>
            <w:r w:rsidRPr="004B0DF5">
              <w:rPr>
                <w:sz w:val="20"/>
                <w:szCs w:val="20"/>
              </w:rPr>
              <w:br/>
              <w:t xml:space="preserve">- 1. Force Majeure means the occurrence of an event or circumstance that prevents or impedes a party from performing one or more of its contractual obligations under the Agreement, if and to the extent that that party proves that such impediment is beyond its reasonable control; and [b] that it could not reasonably have been foreseen at the time of the conclusion of the Agreement; and [c] that the effects of the impediment could not reasonably have been </w:t>
            </w:r>
            <w:r w:rsidRPr="004B0DF5">
              <w:rPr>
                <w:sz w:val="20"/>
                <w:szCs w:val="20"/>
              </w:rPr>
              <w:lastRenderedPageBreak/>
              <w:t>avoided or overcome by the affected party.</w:t>
            </w:r>
            <w:r w:rsidRPr="004B0DF5">
              <w:rPr>
                <w:sz w:val="20"/>
                <w:szCs w:val="20"/>
              </w:rPr>
              <w:br/>
              <w:t>- 2. In the absence of proof to the contrary, the following events affecting a party shall be presumed to fulfil conditions (a) and (b) under paragraph 1 of this Clause: (</w:t>
            </w:r>
            <w:proofErr w:type="spellStart"/>
            <w:r w:rsidRPr="004B0DF5">
              <w:rPr>
                <w:sz w:val="20"/>
                <w:szCs w:val="20"/>
              </w:rPr>
              <w:t>i</w:t>
            </w:r>
            <w:proofErr w:type="spellEnd"/>
            <w:r w:rsidRPr="004B0DF5">
              <w:rPr>
                <w:sz w:val="20"/>
                <w:szCs w:val="20"/>
              </w:rPr>
              <w:t xml:space="preserve">) war (whether declared or not), hostilities, invasion, act of foreign enemies, extensive military </w:t>
            </w:r>
            <w:proofErr w:type="spellStart"/>
            <w:r w:rsidRPr="004B0DF5">
              <w:rPr>
                <w:sz w:val="20"/>
                <w:szCs w:val="20"/>
              </w:rPr>
              <w:t>mobilisation</w:t>
            </w:r>
            <w:proofErr w:type="spellEnd"/>
            <w:r w:rsidRPr="004B0DF5">
              <w:rPr>
                <w:sz w:val="20"/>
                <w:szCs w:val="20"/>
              </w:rPr>
              <w:t xml:space="preserve">; (ii) civil war, riot, rebellion and revolution, military or usurped power, insurrection, act of terrorism, sabotage or piracy; (iii) currency and trade restriction, embargo, sanction; (iv) act of authority whether lawful or unlawful, compliance with any law or governmental order, expropriation, seizure of works, requisition, </w:t>
            </w:r>
            <w:proofErr w:type="spellStart"/>
            <w:r w:rsidRPr="004B0DF5">
              <w:rPr>
                <w:sz w:val="20"/>
                <w:szCs w:val="20"/>
              </w:rPr>
              <w:t>nationalisation</w:t>
            </w:r>
            <w:proofErr w:type="spellEnd"/>
            <w:r w:rsidRPr="004B0DF5">
              <w:rPr>
                <w:sz w:val="20"/>
                <w:szCs w:val="20"/>
              </w:rPr>
              <w:t xml:space="preserve">; (v) plague, epidemic, natural disaster or extreme natural event; (vi) explosion, fire, destruction of equipment, prolonged break-down of transport, telecommunication, information system or energy; (vii) general </w:t>
            </w:r>
            <w:proofErr w:type="spellStart"/>
            <w:r w:rsidRPr="004B0DF5">
              <w:rPr>
                <w:sz w:val="20"/>
                <w:szCs w:val="20"/>
              </w:rPr>
              <w:t>labour</w:t>
            </w:r>
            <w:proofErr w:type="spellEnd"/>
            <w:r w:rsidRPr="004B0DF5">
              <w:rPr>
                <w:sz w:val="20"/>
                <w:szCs w:val="20"/>
              </w:rPr>
              <w:t xml:space="preserve"> disturbance such as boycott, strike and lockout, go-slow, occupation of factories and premises.</w:t>
            </w:r>
            <w:r w:rsidRPr="004B0DF5">
              <w:rPr>
                <w:sz w:val="20"/>
                <w:szCs w:val="20"/>
              </w:rPr>
              <w:br/>
              <w:t xml:space="preserve">- 3. A party successfully invoking this Clause is relieved </w:t>
            </w:r>
            <w:proofErr w:type="gramStart"/>
            <w:r w:rsidRPr="004B0DF5">
              <w:rPr>
                <w:sz w:val="20"/>
                <w:szCs w:val="20"/>
              </w:rPr>
              <w:t>from</w:t>
            </w:r>
            <w:proofErr w:type="gramEnd"/>
            <w:r w:rsidRPr="004B0DF5">
              <w:rPr>
                <w:sz w:val="20"/>
                <w:szCs w:val="20"/>
              </w:rPr>
              <w:t xml:space="preserve"> its duty to </w:t>
            </w:r>
            <w:proofErr w:type="gramStart"/>
            <w:r w:rsidRPr="004B0DF5">
              <w:rPr>
                <w:sz w:val="20"/>
                <w:szCs w:val="20"/>
              </w:rPr>
              <w:t>perform</w:t>
            </w:r>
            <w:proofErr w:type="gramEnd"/>
            <w:r w:rsidRPr="004B0DF5">
              <w:rPr>
                <w:sz w:val="20"/>
                <w:szCs w:val="20"/>
              </w:rPr>
              <w:t xml:space="preserve"> its obligations under the Agreement and </w:t>
            </w:r>
            <w:proofErr w:type="gramStart"/>
            <w:r w:rsidRPr="004B0DF5">
              <w:rPr>
                <w:sz w:val="20"/>
                <w:szCs w:val="20"/>
              </w:rPr>
              <w:t>from</w:t>
            </w:r>
            <w:proofErr w:type="gramEnd"/>
            <w:r w:rsidRPr="004B0DF5">
              <w:rPr>
                <w:sz w:val="20"/>
                <w:szCs w:val="20"/>
              </w:rPr>
              <w:t xml:space="preserve"> any liability </w:t>
            </w:r>
            <w:proofErr w:type="gramStart"/>
            <w:r w:rsidRPr="004B0DF5">
              <w:rPr>
                <w:sz w:val="20"/>
                <w:szCs w:val="20"/>
              </w:rPr>
              <w:t>in</w:t>
            </w:r>
            <w:proofErr w:type="gramEnd"/>
            <w:r w:rsidRPr="004B0DF5">
              <w:rPr>
                <w:sz w:val="20"/>
                <w:szCs w:val="20"/>
              </w:rPr>
              <w:t xml:space="preserve"> damages </w:t>
            </w:r>
            <w:proofErr w:type="gramStart"/>
            <w:r w:rsidRPr="004B0DF5">
              <w:rPr>
                <w:sz w:val="20"/>
                <w:szCs w:val="20"/>
              </w:rPr>
              <w:t>or from</w:t>
            </w:r>
            <w:proofErr w:type="gramEnd"/>
            <w:r w:rsidRPr="004B0DF5">
              <w:rPr>
                <w:sz w:val="20"/>
                <w:szCs w:val="20"/>
              </w:rPr>
              <w:t xml:space="preserve"> any other contractual remedy for breach of Agreement, from the time at which the impediment causes inability to perform, provided that the notice thereof is given without delay. Where the effect of the impediment or event invoked is temporary, the above </w:t>
            </w:r>
            <w:r w:rsidRPr="004B0DF5">
              <w:rPr>
                <w:sz w:val="20"/>
                <w:szCs w:val="20"/>
              </w:rPr>
              <w:lastRenderedPageBreak/>
              <w:t>consequences shall apply only as long as the impediment invoked impedes performance by the affected party. If Force Majeure continues for a period of more than 3 months, Parties shall jointly decide future course of action.</w:t>
            </w:r>
            <w:r w:rsidRPr="004B0DF5">
              <w:rPr>
                <w:sz w:val="20"/>
                <w:szCs w:val="20"/>
              </w:rPr>
              <w:br/>
              <w:t>- 4. It is hereby clarified that Force Majeure cannot be considered as an excuse for non-payment of goods already delivered or services already performed. Provided always no Party shall be entitled to rely on or claim as an event or condition of Force Majeure lack of funds due to any commercial, economic or financial reason such as, but not limited to, such Party’s inability to make a profit or achieve a satisfactory rate of return due to the provisions of this Agreement or changes in market conditions.</w:t>
            </w:r>
          </w:p>
        </w:tc>
        <w:tc>
          <w:tcPr>
            <w:tcW w:w="1711" w:type="dxa"/>
            <w:tcBorders>
              <w:top w:val="single" w:sz="4" w:space="0" w:color="auto"/>
              <w:left w:val="single" w:sz="4" w:space="0" w:color="auto"/>
              <w:bottom w:val="single" w:sz="4" w:space="0" w:color="auto"/>
              <w:right w:val="single" w:sz="4" w:space="0" w:color="auto"/>
            </w:tcBorders>
            <w:hideMark/>
          </w:tcPr>
          <w:p w14:paraId="18DFF025" w14:textId="77777777" w:rsidR="004B0DF5" w:rsidRPr="004B0DF5" w:rsidRDefault="004B0DF5" w:rsidP="004B0DF5">
            <w:pPr>
              <w:spacing w:after="200" w:line="276" w:lineRule="auto"/>
              <w:jc w:val="both"/>
              <w:rPr>
                <w:sz w:val="20"/>
                <w:szCs w:val="20"/>
              </w:rPr>
            </w:pPr>
            <w:r w:rsidRPr="004B0DF5">
              <w:rPr>
                <w:sz w:val="20"/>
                <w:szCs w:val="20"/>
              </w:rPr>
              <w:lastRenderedPageBreak/>
              <w:t>Legal team in consultation with Business Team.</w:t>
            </w:r>
          </w:p>
        </w:tc>
      </w:tr>
      <w:tr w:rsidR="008856A3" w:rsidRPr="004B0DF5" w14:paraId="45667D4E" w14:textId="77777777" w:rsidTr="00F87B0C">
        <w:tc>
          <w:tcPr>
            <w:tcW w:w="817" w:type="dxa"/>
            <w:tcBorders>
              <w:top w:val="single" w:sz="4" w:space="0" w:color="auto"/>
              <w:left w:val="single" w:sz="4" w:space="0" w:color="auto"/>
              <w:bottom w:val="single" w:sz="4" w:space="0" w:color="auto"/>
              <w:right w:val="single" w:sz="4" w:space="0" w:color="auto"/>
            </w:tcBorders>
            <w:hideMark/>
          </w:tcPr>
          <w:p w14:paraId="116FA5E6" w14:textId="0076921D" w:rsidR="004B0DF5" w:rsidRPr="004B0DF5" w:rsidRDefault="008856A3" w:rsidP="004B0DF5">
            <w:pPr>
              <w:spacing w:after="200" w:line="276" w:lineRule="auto"/>
              <w:rPr>
                <w:sz w:val="20"/>
                <w:szCs w:val="20"/>
              </w:rPr>
            </w:pPr>
            <w:r>
              <w:rPr>
                <w:sz w:val="20"/>
                <w:szCs w:val="20"/>
              </w:rPr>
              <w:lastRenderedPageBreak/>
              <w:t>6</w:t>
            </w:r>
          </w:p>
        </w:tc>
        <w:tc>
          <w:tcPr>
            <w:tcW w:w="2126" w:type="dxa"/>
            <w:tcBorders>
              <w:top w:val="single" w:sz="4" w:space="0" w:color="auto"/>
              <w:left w:val="single" w:sz="4" w:space="0" w:color="auto"/>
              <w:bottom w:val="single" w:sz="4" w:space="0" w:color="auto"/>
              <w:right w:val="single" w:sz="4" w:space="0" w:color="auto"/>
            </w:tcBorders>
            <w:hideMark/>
          </w:tcPr>
          <w:p w14:paraId="033C362F" w14:textId="77777777" w:rsidR="004B0DF5" w:rsidRPr="004B0DF5" w:rsidRDefault="004B0DF5" w:rsidP="004B0DF5">
            <w:pPr>
              <w:spacing w:after="200" w:line="276" w:lineRule="auto"/>
              <w:rPr>
                <w:sz w:val="20"/>
                <w:szCs w:val="20"/>
              </w:rPr>
            </w:pPr>
            <w:r w:rsidRPr="004B0DF5">
              <w:rPr>
                <w:sz w:val="20"/>
                <w:szCs w:val="20"/>
              </w:rPr>
              <w:t>Liquidated Damages</w:t>
            </w:r>
          </w:p>
        </w:tc>
        <w:tc>
          <w:tcPr>
            <w:tcW w:w="4121" w:type="dxa"/>
            <w:tcBorders>
              <w:top w:val="single" w:sz="4" w:space="0" w:color="auto"/>
              <w:left w:val="single" w:sz="4" w:space="0" w:color="auto"/>
              <w:bottom w:val="single" w:sz="4" w:space="0" w:color="auto"/>
              <w:right w:val="single" w:sz="4" w:space="0" w:color="auto"/>
            </w:tcBorders>
            <w:hideMark/>
          </w:tcPr>
          <w:p w14:paraId="37F76372" w14:textId="77777777" w:rsidR="004B0DF5" w:rsidRPr="004B0DF5" w:rsidRDefault="004B0DF5" w:rsidP="004B0DF5">
            <w:pPr>
              <w:spacing w:after="200" w:line="276" w:lineRule="auto"/>
              <w:rPr>
                <w:sz w:val="20"/>
                <w:szCs w:val="20"/>
              </w:rPr>
            </w:pPr>
            <w:r w:rsidRPr="004B0DF5">
              <w:rPr>
                <w:sz w:val="20"/>
                <w:szCs w:val="20"/>
              </w:rPr>
              <w:t xml:space="preserve">- 1. The intent of a liquidated damages provision is to </w:t>
            </w:r>
            <w:proofErr w:type="spellStart"/>
            <w:r w:rsidRPr="004B0DF5">
              <w:rPr>
                <w:sz w:val="20"/>
                <w:szCs w:val="20"/>
              </w:rPr>
              <w:t>preagree</w:t>
            </w:r>
            <w:proofErr w:type="spellEnd"/>
            <w:r w:rsidRPr="004B0DF5">
              <w:rPr>
                <w:sz w:val="20"/>
                <w:szCs w:val="20"/>
              </w:rPr>
              <w:t xml:space="preserve"> on a measure for damages, which would be difficult to prove once incurred and yet give the party(</w:t>
            </w:r>
            <w:proofErr w:type="spellStart"/>
            <w:r w:rsidRPr="004B0DF5">
              <w:rPr>
                <w:sz w:val="20"/>
                <w:szCs w:val="20"/>
              </w:rPr>
              <w:t>ies</w:t>
            </w:r>
            <w:proofErr w:type="spellEnd"/>
            <w:r w:rsidRPr="004B0DF5">
              <w:rPr>
                <w:sz w:val="20"/>
                <w:szCs w:val="20"/>
              </w:rPr>
              <w:t>) an incentive to perform. It is not designed to impose a penalty on a party.</w:t>
            </w:r>
            <w:r w:rsidRPr="004B0DF5">
              <w:rPr>
                <w:sz w:val="20"/>
                <w:szCs w:val="20"/>
              </w:rPr>
              <w:br/>
              <w:t>- 2. LD could be imposed for any pre-determined situation which is required to be specified in Agreement e.g.</w:t>
            </w:r>
            <w:r w:rsidRPr="004B0DF5">
              <w:rPr>
                <w:sz w:val="20"/>
                <w:szCs w:val="20"/>
              </w:rPr>
              <w:br/>
              <w:t>- a. delay in supply of goods;</w:t>
            </w:r>
            <w:r w:rsidRPr="004B0DF5">
              <w:rPr>
                <w:sz w:val="20"/>
                <w:szCs w:val="20"/>
              </w:rPr>
              <w:br/>
              <w:t>- b. performance of services;</w:t>
            </w:r>
            <w:r w:rsidRPr="004B0DF5">
              <w:rPr>
                <w:sz w:val="20"/>
                <w:szCs w:val="20"/>
              </w:rPr>
              <w:br/>
              <w:t>- c. delay in supply of documentation (for PED)</w:t>
            </w:r>
            <w:r w:rsidRPr="004B0DF5">
              <w:rPr>
                <w:sz w:val="20"/>
                <w:szCs w:val="20"/>
              </w:rPr>
              <w:br/>
              <w:t>- 3. Amount of LD is to be clearly mentioned either in monetary terms or in %.</w:t>
            </w:r>
            <w:r w:rsidRPr="004B0DF5">
              <w:rPr>
                <w:sz w:val="20"/>
                <w:szCs w:val="20"/>
              </w:rPr>
              <w:br/>
            </w:r>
            <w:r w:rsidRPr="004B0DF5">
              <w:rPr>
                <w:sz w:val="20"/>
                <w:szCs w:val="20"/>
              </w:rPr>
              <w:lastRenderedPageBreak/>
              <w:t>- 4. Maximum cap of LD is required.</w:t>
            </w:r>
            <w:r w:rsidRPr="004B0DF5">
              <w:rPr>
                <w:sz w:val="20"/>
                <w:szCs w:val="20"/>
              </w:rPr>
              <w:br/>
              <w:t>- 5. The scope of the liquidated damages provision must be clear and specify that it constitutes the exclusive remedy applicable in case of breach.</w:t>
            </w:r>
            <w:r w:rsidRPr="004B0DF5">
              <w:rPr>
                <w:sz w:val="20"/>
                <w:szCs w:val="20"/>
              </w:rPr>
              <w:br/>
              <w:t>- 6. LD should be imposed on delayed value and not on entire Agreement value.</w:t>
            </w:r>
          </w:p>
        </w:tc>
        <w:tc>
          <w:tcPr>
            <w:tcW w:w="4401" w:type="dxa"/>
            <w:tcBorders>
              <w:top w:val="single" w:sz="4" w:space="0" w:color="auto"/>
              <w:left w:val="single" w:sz="4" w:space="0" w:color="auto"/>
              <w:bottom w:val="single" w:sz="4" w:space="0" w:color="auto"/>
              <w:right w:val="single" w:sz="4" w:space="0" w:color="auto"/>
            </w:tcBorders>
            <w:hideMark/>
          </w:tcPr>
          <w:p w14:paraId="28AED300" w14:textId="77777777" w:rsidR="004B0DF5" w:rsidRPr="004B0DF5" w:rsidRDefault="004B0DF5" w:rsidP="004B0DF5">
            <w:pPr>
              <w:spacing w:after="200" w:line="276" w:lineRule="auto"/>
              <w:rPr>
                <w:sz w:val="20"/>
                <w:szCs w:val="20"/>
              </w:rPr>
            </w:pPr>
            <w:r w:rsidRPr="004B0DF5">
              <w:rPr>
                <w:b/>
                <w:bCs/>
                <w:sz w:val="20"/>
                <w:szCs w:val="20"/>
              </w:rPr>
              <w:lastRenderedPageBreak/>
              <w:t>Position 1</w:t>
            </w:r>
            <w:r w:rsidRPr="004B0DF5">
              <w:rPr>
                <w:sz w:val="20"/>
                <w:szCs w:val="20"/>
              </w:rPr>
              <w:br/>
              <w:t xml:space="preserve">If the Supplier fails to deliver the Goods or part thereof in accordance with the relevant delivery dates or any time extension granted by the Customer in accordance with the provisions of the Agreement, the Supplier shall become liable to pay to the Customer on demand, by way of liquidated damages, not as penalty, the liquidated damages for any delay at rate of half (0.5%) percent of the delayed value of Goods for every week of delay or part thereof beyond the DELIVERY DATES specified in the Agreement, subject to a maximum limit of five (5) percent of the Agreement price. LD shall be applicable only if the delay is arising solely due to default on </w:t>
            </w:r>
            <w:r w:rsidRPr="004B0DF5">
              <w:rPr>
                <w:sz w:val="20"/>
                <w:szCs w:val="20"/>
              </w:rPr>
              <w:lastRenderedPageBreak/>
              <w:t>part of Supplier.</w:t>
            </w:r>
            <w:r w:rsidRPr="004B0DF5">
              <w:rPr>
                <w:sz w:val="20"/>
                <w:szCs w:val="20"/>
              </w:rPr>
              <w:br/>
            </w:r>
            <w:r w:rsidRPr="004B0DF5">
              <w:rPr>
                <w:sz w:val="20"/>
                <w:szCs w:val="20"/>
              </w:rPr>
              <w:br/>
            </w:r>
            <w:r w:rsidRPr="004B0DF5">
              <w:rPr>
                <w:b/>
                <w:bCs/>
                <w:sz w:val="20"/>
                <w:szCs w:val="20"/>
              </w:rPr>
              <w:t>Position 2</w:t>
            </w:r>
            <w:r w:rsidRPr="004B0DF5">
              <w:rPr>
                <w:sz w:val="20"/>
                <w:szCs w:val="20"/>
              </w:rPr>
              <w:br/>
              <w:t>Subject to terms of this Agreement, if the Supplier fails to deliver the goods or part thereof in accordance with the relevant delivery dates or any time extension granted by the Customer in accordance with the provisions of the Agreement, the Supplier shall become liable to pay to the Customer on demand, by way of liquidated damages, not as penalty, the liquidated damages for any delay at rate of half (0.5%) percent of the Purchase Order Price for every week of delay or part thereof beyond the delivery dates specified in the Agreement, subject to a maximum limit of five (5) percent of the Agreement price;</w:t>
            </w:r>
          </w:p>
        </w:tc>
        <w:tc>
          <w:tcPr>
            <w:tcW w:w="1711" w:type="dxa"/>
            <w:tcBorders>
              <w:top w:val="single" w:sz="4" w:space="0" w:color="auto"/>
              <w:left w:val="single" w:sz="4" w:space="0" w:color="auto"/>
              <w:bottom w:val="single" w:sz="4" w:space="0" w:color="auto"/>
              <w:right w:val="single" w:sz="4" w:space="0" w:color="auto"/>
            </w:tcBorders>
            <w:hideMark/>
          </w:tcPr>
          <w:p w14:paraId="55E17586" w14:textId="77777777" w:rsidR="004B0DF5" w:rsidRPr="004B0DF5" w:rsidRDefault="004B0DF5" w:rsidP="004B0DF5">
            <w:pPr>
              <w:spacing w:after="200" w:line="276" w:lineRule="auto"/>
              <w:jc w:val="both"/>
              <w:rPr>
                <w:sz w:val="20"/>
                <w:szCs w:val="20"/>
              </w:rPr>
            </w:pPr>
            <w:r w:rsidRPr="004B0DF5">
              <w:rPr>
                <w:sz w:val="20"/>
                <w:szCs w:val="20"/>
              </w:rPr>
              <w:lastRenderedPageBreak/>
              <w:t>Division → ERMC Approval</w:t>
            </w:r>
            <w:r w:rsidRPr="004B0DF5">
              <w:rPr>
                <w:sz w:val="20"/>
                <w:szCs w:val="20"/>
              </w:rPr>
              <w:br/>
              <w:t>Aerospace, Appliances (Sales), Interio, Locks, PED, PES, SSD, Tooling. → When LD is more than 10%</w:t>
            </w:r>
            <w:r w:rsidRPr="004B0DF5">
              <w:rPr>
                <w:sz w:val="20"/>
                <w:szCs w:val="20"/>
              </w:rPr>
              <w:br/>
              <w:t>Construction, E&amp;E (MEP &amp; Pire), SSG, GITL. → When LD is more than 5%</w:t>
            </w:r>
          </w:p>
        </w:tc>
      </w:tr>
      <w:tr w:rsidR="008856A3" w:rsidRPr="004B0DF5" w14:paraId="605F5812" w14:textId="77777777" w:rsidTr="00FB5A7D">
        <w:tc>
          <w:tcPr>
            <w:tcW w:w="13176" w:type="dxa"/>
            <w:gridSpan w:val="5"/>
            <w:tcBorders>
              <w:top w:val="single" w:sz="4" w:space="0" w:color="auto"/>
              <w:left w:val="single" w:sz="4" w:space="0" w:color="auto"/>
              <w:bottom w:val="single" w:sz="4" w:space="0" w:color="auto"/>
              <w:right w:val="single" w:sz="4" w:space="0" w:color="auto"/>
            </w:tcBorders>
          </w:tcPr>
          <w:p w14:paraId="5F266E39" w14:textId="704F0165" w:rsidR="008856A3" w:rsidRPr="008856A3" w:rsidRDefault="008856A3" w:rsidP="008856A3">
            <w:pPr>
              <w:jc w:val="center"/>
              <w:rPr>
                <w:b/>
                <w:bCs/>
                <w:sz w:val="24"/>
                <w:szCs w:val="24"/>
              </w:rPr>
            </w:pPr>
            <w:r w:rsidRPr="008856A3">
              <w:rPr>
                <w:b/>
                <w:bCs/>
                <w:sz w:val="24"/>
                <w:szCs w:val="24"/>
              </w:rPr>
              <w:t xml:space="preserve">Aerospace </w:t>
            </w:r>
            <w:r>
              <w:rPr>
                <w:b/>
                <w:bCs/>
                <w:sz w:val="24"/>
                <w:szCs w:val="24"/>
              </w:rPr>
              <w:t>Business Critical Terms</w:t>
            </w:r>
          </w:p>
        </w:tc>
      </w:tr>
      <w:tr w:rsidR="008856A3" w14:paraId="7EDAB9A6" w14:textId="77777777" w:rsidTr="00F87B0C">
        <w:tc>
          <w:tcPr>
            <w:tcW w:w="817" w:type="dxa"/>
            <w:hideMark/>
          </w:tcPr>
          <w:p w14:paraId="40C55524" w14:textId="4D761C6D" w:rsidR="008856A3" w:rsidRPr="008856A3" w:rsidRDefault="008856A3">
            <w:pPr>
              <w:rPr>
                <w:sz w:val="20"/>
                <w:szCs w:val="20"/>
              </w:rPr>
            </w:pPr>
            <w:r w:rsidRPr="008856A3">
              <w:rPr>
                <w:sz w:val="20"/>
                <w:szCs w:val="20"/>
              </w:rPr>
              <w:t>7</w:t>
            </w:r>
          </w:p>
        </w:tc>
        <w:tc>
          <w:tcPr>
            <w:tcW w:w="2126" w:type="dxa"/>
            <w:hideMark/>
          </w:tcPr>
          <w:p w14:paraId="6D6018A6" w14:textId="77777777" w:rsidR="008856A3" w:rsidRPr="008856A3" w:rsidRDefault="008856A3">
            <w:pPr>
              <w:rPr>
                <w:sz w:val="20"/>
                <w:szCs w:val="20"/>
              </w:rPr>
            </w:pPr>
            <w:r w:rsidRPr="008856A3">
              <w:rPr>
                <w:sz w:val="20"/>
                <w:szCs w:val="20"/>
              </w:rPr>
              <w:t>Orders Extending Beyond Termination</w:t>
            </w:r>
          </w:p>
        </w:tc>
        <w:tc>
          <w:tcPr>
            <w:tcW w:w="4121" w:type="dxa"/>
            <w:hideMark/>
          </w:tcPr>
          <w:p w14:paraId="1A9E7897" w14:textId="77777777" w:rsidR="008856A3" w:rsidRPr="008856A3" w:rsidRDefault="008856A3">
            <w:pPr>
              <w:rPr>
                <w:sz w:val="20"/>
                <w:szCs w:val="20"/>
              </w:rPr>
            </w:pPr>
            <w:r w:rsidRPr="008856A3">
              <w:rPr>
                <w:b/>
                <w:bCs/>
                <w:sz w:val="20"/>
                <w:szCs w:val="20"/>
              </w:rPr>
              <w:t>Original Position:</w:t>
            </w:r>
            <w:r w:rsidRPr="008856A3">
              <w:rPr>
                <w:sz w:val="20"/>
                <w:szCs w:val="20"/>
              </w:rPr>
              <w:t xml:space="preserve"> Termination or expiry shall not affect orders issued during the Term; Supplier must continue to perform such Orders.</w:t>
            </w:r>
            <w:r w:rsidRPr="008856A3">
              <w:rPr>
                <w:sz w:val="20"/>
                <w:szCs w:val="20"/>
              </w:rPr>
              <w:br/>
            </w:r>
            <w:r w:rsidRPr="008856A3">
              <w:rPr>
                <w:b/>
                <w:bCs/>
                <w:sz w:val="20"/>
                <w:szCs w:val="20"/>
              </w:rPr>
              <w:t>Remarks:</w:t>
            </w:r>
            <w:r w:rsidRPr="008856A3">
              <w:rPr>
                <w:sz w:val="20"/>
                <w:szCs w:val="20"/>
              </w:rPr>
              <w:t xml:space="preserve"> Drive alignment with termination framework; avoid open-ended supply obligations post-term; secure re-pricing right for overhang orders.</w:t>
            </w:r>
          </w:p>
        </w:tc>
        <w:tc>
          <w:tcPr>
            <w:tcW w:w="4401" w:type="dxa"/>
            <w:hideMark/>
          </w:tcPr>
          <w:p w14:paraId="4C84FC11" w14:textId="77777777" w:rsidR="008856A3" w:rsidRPr="008856A3" w:rsidRDefault="008856A3">
            <w:pPr>
              <w:rPr>
                <w:sz w:val="20"/>
                <w:szCs w:val="20"/>
              </w:rPr>
            </w:pPr>
            <w:r w:rsidRPr="008856A3">
              <w:rPr>
                <w:b/>
                <w:bCs/>
                <w:sz w:val="20"/>
                <w:szCs w:val="20"/>
              </w:rPr>
              <w:t>GB’s Ideal Position</w:t>
            </w:r>
            <w:r w:rsidRPr="008856A3">
              <w:rPr>
                <w:sz w:val="20"/>
                <w:szCs w:val="20"/>
              </w:rPr>
              <w:t>: Termination of the Agreement terminates all in-effect Orders unless Parties expressly agree otherwise via a mutually signed addendum. If any Order’s delivery period extends beyond the Term, Parties may renegotiate prices for the residual period.</w:t>
            </w:r>
          </w:p>
        </w:tc>
        <w:tc>
          <w:tcPr>
            <w:tcW w:w="1711" w:type="dxa"/>
            <w:hideMark/>
          </w:tcPr>
          <w:p w14:paraId="24C6EF65" w14:textId="77777777" w:rsidR="008856A3" w:rsidRPr="008856A3" w:rsidRDefault="008856A3">
            <w:pPr>
              <w:rPr>
                <w:sz w:val="20"/>
                <w:szCs w:val="20"/>
              </w:rPr>
            </w:pPr>
            <w:r w:rsidRPr="008856A3">
              <w:rPr>
                <w:sz w:val="20"/>
                <w:szCs w:val="20"/>
              </w:rPr>
              <w:t>Legal team in consultation with Business Team.</w:t>
            </w:r>
          </w:p>
        </w:tc>
      </w:tr>
      <w:tr w:rsidR="008856A3" w14:paraId="33112E1C" w14:textId="77777777" w:rsidTr="00F87B0C">
        <w:tc>
          <w:tcPr>
            <w:tcW w:w="817" w:type="dxa"/>
            <w:hideMark/>
          </w:tcPr>
          <w:p w14:paraId="28110BD8" w14:textId="323C27CF" w:rsidR="008856A3" w:rsidRPr="008856A3" w:rsidRDefault="008856A3">
            <w:pPr>
              <w:rPr>
                <w:sz w:val="20"/>
                <w:szCs w:val="20"/>
              </w:rPr>
            </w:pPr>
            <w:r w:rsidRPr="008856A3">
              <w:rPr>
                <w:sz w:val="20"/>
                <w:szCs w:val="20"/>
              </w:rPr>
              <w:t>8</w:t>
            </w:r>
          </w:p>
        </w:tc>
        <w:tc>
          <w:tcPr>
            <w:tcW w:w="2126" w:type="dxa"/>
            <w:hideMark/>
          </w:tcPr>
          <w:p w14:paraId="31001EBC" w14:textId="77777777" w:rsidR="008856A3" w:rsidRPr="008856A3" w:rsidRDefault="008856A3">
            <w:pPr>
              <w:rPr>
                <w:sz w:val="20"/>
                <w:szCs w:val="20"/>
              </w:rPr>
            </w:pPr>
            <w:r w:rsidRPr="008856A3">
              <w:rPr>
                <w:sz w:val="20"/>
                <w:szCs w:val="20"/>
              </w:rPr>
              <w:t>Quantity Protection</w:t>
            </w:r>
          </w:p>
        </w:tc>
        <w:tc>
          <w:tcPr>
            <w:tcW w:w="4121" w:type="dxa"/>
            <w:hideMark/>
          </w:tcPr>
          <w:p w14:paraId="6CA7CDCA" w14:textId="77777777" w:rsidR="008856A3" w:rsidRPr="008856A3" w:rsidRDefault="008856A3">
            <w:pPr>
              <w:rPr>
                <w:sz w:val="20"/>
                <w:szCs w:val="20"/>
              </w:rPr>
            </w:pPr>
            <w:r w:rsidRPr="008856A3">
              <w:rPr>
                <w:b/>
                <w:bCs/>
                <w:sz w:val="20"/>
                <w:szCs w:val="20"/>
              </w:rPr>
              <w:t>Original Position</w:t>
            </w:r>
            <w:r w:rsidRPr="008856A3">
              <w:rPr>
                <w:sz w:val="20"/>
                <w:szCs w:val="20"/>
              </w:rPr>
              <w:t>: Forecasts are non-binding; Buyer may revise quantities at its discretion.</w:t>
            </w:r>
            <w:r w:rsidRPr="008856A3">
              <w:rPr>
                <w:sz w:val="20"/>
                <w:szCs w:val="20"/>
              </w:rPr>
              <w:br/>
            </w:r>
            <w:r w:rsidRPr="008856A3">
              <w:rPr>
                <w:b/>
                <w:bCs/>
                <w:sz w:val="20"/>
                <w:szCs w:val="20"/>
              </w:rPr>
              <w:t>Remarks:</w:t>
            </w:r>
            <w:r w:rsidRPr="008856A3">
              <w:rPr>
                <w:sz w:val="20"/>
                <w:szCs w:val="20"/>
              </w:rPr>
              <w:t xml:space="preserve"> Controls exposure to demand volatility; establishes reimbursement mechanism and conversion to firm orders inside lead time.</w:t>
            </w:r>
          </w:p>
        </w:tc>
        <w:tc>
          <w:tcPr>
            <w:tcW w:w="4401" w:type="dxa"/>
            <w:hideMark/>
          </w:tcPr>
          <w:p w14:paraId="7C8EA0C3" w14:textId="77777777" w:rsidR="008856A3" w:rsidRPr="008856A3" w:rsidRDefault="008856A3">
            <w:pPr>
              <w:rPr>
                <w:sz w:val="20"/>
                <w:szCs w:val="20"/>
              </w:rPr>
            </w:pPr>
            <w:r w:rsidRPr="008856A3">
              <w:rPr>
                <w:b/>
                <w:bCs/>
                <w:sz w:val="20"/>
                <w:szCs w:val="20"/>
              </w:rPr>
              <w:t>GB’s Ideal Position:</w:t>
            </w:r>
            <w:r w:rsidRPr="008856A3">
              <w:rPr>
                <w:sz w:val="20"/>
                <w:szCs w:val="20"/>
              </w:rPr>
              <w:t xml:space="preserve"> if PO quantity deviates beyond +/-20% of forecast, GB is reimbursed at actuals for raw material, WIP and finished goods on valid documentation. Forecasts do not trigger procurement/capex; when within lead time, forecasts convert to firm </w:t>
            </w:r>
            <w:proofErr w:type="spellStart"/>
            <w:r w:rsidRPr="008856A3">
              <w:rPr>
                <w:sz w:val="20"/>
                <w:szCs w:val="20"/>
              </w:rPr>
              <w:t>POs.</w:t>
            </w:r>
            <w:proofErr w:type="spellEnd"/>
          </w:p>
        </w:tc>
        <w:tc>
          <w:tcPr>
            <w:tcW w:w="1711" w:type="dxa"/>
            <w:hideMark/>
          </w:tcPr>
          <w:p w14:paraId="06BA45B7" w14:textId="77777777" w:rsidR="008856A3" w:rsidRPr="008856A3" w:rsidRDefault="008856A3">
            <w:pPr>
              <w:rPr>
                <w:sz w:val="20"/>
                <w:szCs w:val="20"/>
              </w:rPr>
            </w:pPr>
            <w:r w:rsidRPr="008856A3">
              <w:rPr>
                <w:sz w:val="20"/>
                <w:szCs w:val="20"/>
              </w:rPr>
              <w:t>Legal team in consultation with Business Team.</w:t>
            </w:r>
          </w:p>
        </w:tc>
      </w:tr>
      <w:tr w:rsidR="008856A3" w14:paraId="067C5A4E" w14:textId="77777777" w:rsidTr="00F87B0C">
        <w:tc>
          <w:tcPr>
            <w:tcW w:w="817" w:type="dxa"/>
            <w:hideMark/>
          </w:tcPr>
          <w:p w14:paraId="3522BD97" w14:textId="4AE5A26E" w:rsidR="008856A3" w:rsidRPr="008856A3" w:rsidRDefault="008856A3">
            <w:pPr>
              <w:rPr>
                <w:sz w:val="20"/>
                <w:szCs w:val="20"/>
              </w:rPr>
            </w:pPr>
            <w:r w:rsidRPr="008856A3">
              <w:rPr>
                <w:sz w:val="20"/>
                <w:szCs w:val="20"/>
              </w:rPr>
              <w:lastRenderedPageBreak/>
              <w:t>9</w:t>
            </w:r>
          </w:p>
        </w:tc>
        <w:tc>
          <w:tcPr>
            <w:tcW w:w="2126" w:type="dxa"/>
            <w:hideMark/>
          </w:tcPr>
          <w:p w14:paraId="10D02665" w14:textId="77777777" w:rsidR="008856A3" w:rsidRPr="008856A3" w:rsidRDefault="008856A3">
            <w:pPr>
              <w:rPr>
                <w:sz w:val="20"/>
                <w:szCs w:val="20"/>
              </w:rPr>
            </w:pPr>
            <w:r w:rsidRPr="008856A3">
              <w:rPr>
                <w:sz w:val="20"/>
                <w:szCs w:val="20"/>
              </w:rPr>
              <w:t>Inventory Requirements</w:t>
            </w:r>
          </w:p>
        </w:tc>
        <w:tc>
          <w:tcPr>
            <w:tcW w:w="4121" w:type="dxa"/>
            <w:hideMark/>
          </w:tcPr>
          <w:p w14:paraId="1C5DB0AF" w14:textId="77777777" w:rsidR="008856A3" w:rsidRPr="008856A3" w:rsidRDefault="008856A3">
            <w:pPr>
              <w:rPr>
                <w:sz w:val="20"/>
                <w:szCs w:val="20"/>
              </w:rPr>
            </w:pPr>
            <w:r w:rsidRPr="008856A3">
              <w:rPr>
                <w:b/>
                <w:bCs/>
                <w:sz w:val="20"/>
                <w:szCs w:val="20"/>
              </w:rPr>
              <w:t>Original Position:</w:t>
            </w:r>
            <w:r w:rsidRPr="008856A3">
              <w:rPr>
                <w:sz w:val="20"/>
                <w:szCs w:val="20"/>
              </w:rPr>
              <w:t xml:space="preserve"> Supplier must maintain inventory of RM/FG against Buyer forecasts.</w:t>
            </w:r>
            <w:r w:rsidRPr="008856A3">
              <w:rPr>
                <w:sz w:val="20"/>
                <w:szCs w:val="20"/>
              </w:rPr>
              <w:br/>
            </w:r>
            <w:r w:rsidRPr="008856A3">
              <w:rPr>
                <w:b/>
                <w:bCs/>
                <w:sz w:val="20"/>
                <w:szCs w:val="20"/>
              </w:rPr>
              <w:t>Remarks:</w:t>
            </w:r>
            <w:r w:rsidRPr="008856A3">
              <w:rPr>
                <w:sz w:val="20"/>
                <w:szCs w:val="20"/>
              </w:rPr>
              <w:t xml:space="preserve"> Caps working capital and obsolescence risk tied to unfirm demand.</w:t>
            </w:r>
          </w:p>
        </w:tc>
        <w:tc>
          <w:tcPr>
            <w:tcW w:w="4401" w:type="dxa"/>
            <w:hideMark/>
          </w:tcPr>
          <w:p w14:paraId="514FE1B2" w14:textId="77777777" w:rsidR="008856A3" w:rsidRPr="008856A3" w:rsidRDefault="008856A3">
            <w:pPr>
              <w:rPr>
                <w:sz w:val="20"/>
                <w:szCs w:val="20"/>
              </w:rPr>
            </w:pPr>
            <w:r w:rsidRPr="008856A3">
              <w:rPr>
                <w:b/>
                <w:bCs/>
                <w:sz w:val="20"/>
                <w:szCs w:val="20"/>
              </w:rPr>
              <w:t>GB’s Ideal Position:</w:t>
            </w:r>
            <w:r w:rsidRPr="008856A3">
              <w:rPr>
                <w:sz w:val="20"/>
                <w:szCs w:val="20"/>
              </w:rPr>
              <w:t xml:space="preserve"> Inventory against non-binding forecasts limited to a maximum of 4 weeks of RM/FG once forecast enters lead time.</w:t>
            </w:r>
          </w:p>
        </w:tc>
        <w:tc>
          <w:tcPr>
            <w:tcW w:w="1711" w:type="dxa"/>
            <w:hideMark/>
          </w:tcPr>
          <w:p w14:paraId="00924561" w14:textId="77777777" w:rsidR="008856A3" w:rsidRPr="008856A3" w:rsidRDefault="008856A3">
            <w:pPr>
              <w:rPr>
                <w:sz w:val="20"/>
                <w:szCs w:val="20"/>
              </w:rPr>
            </w:pPr>
            <w:r w:rsidRPr="008856A3">
              <w:rPr>
                <w:sz w:val="20"/>
                <w:szCs w:val="20"/>
              </w:rPr>
              <w:t>Legal team in consultation with Business Team.</w:t>
            </w:r>
          </w:p>
        </w:tc>
      </w:tr>
      <w:tr w:rsidR="008856A3" w14:paraId="1C27A804" w14:textId="77777777" w:rsidTr="00F87B0C">
        <w:tc>
          <w:tcPr>
            <w:tcW w:w="817" w:type="dxa"/>
            <w:hideMark/>
          </w:tcPr>
          <w:p w14:paraId="6BA1216D" w14:textId="788535E7" w:rsidR="008856A3" w:rsidRPr="008856A3" w:rsidRDefault="008856A3">
            <w:pPr>
              <w:rPr>
                <w:sz w:val="20"/>
                <w:szCs w:val="20"/>
              </w:rPr>
            </w:pPr>
            <w:r w:rsidRPr="008856A3">
              <w:rPr>
                <w:sz w:val="20"/>
                <w:szCs w:val="20"/>
              </w:rPr>
              <w:t>10</w:t>
            </w:r>
          </w:p>
        </w:tc>
        <w:tc>
          <w:tcPr>
            <w:tcW w:w="2126" w:type="dxa"/>
            <w:hideMark/>
          </w:tcPr>
          <w:p w14:paraId="1F8C35B0" w14:textId="77777777" w:rsidR="008856A3" w:rsidRPr="008856A3" w:rsidRDefault="008856A3">
            <w:pPr>
              <w:rPr>
                <w:sz w:val="20"/>
                <w:szCs w:val="20"/>
              </w:rPr>
            </w:pPr>
            <w:r w:rsidRPr="008856A3">
              <w:rPr>
                <w:sz w:val="20"/>
                <w:szCs w:val="20"/>
              </w:rPr>
              <w:t>Change Orders Procedure</w:t>
            </w:r>
          </w:p>
        </w:tc>
        <w:tc>
          <w:tcPr>
            <w:tcW w:w="4121" w:type="dxa"/>
            <w:hideMark/>
          </w:tcPr>
          <w:p w14:paraId="60F4687E" w14:textId="77777777" w:rsidR="008856A3" w:rsidRPr="008856A3" w:rsidRDefault="008856A3">
            <w:pPr>
              <w:rPr>
                <w:sz w:val="20"/>
                <w:szCs w:val="20"/>
              </w:rPr>
            </w:pPr>
            <w:r w:rsidRPr="008856A3">
              <w:rPr>
                <w:b/>
                <w:bCs/>
                <w:sz w:val="20"/>
                <w:szCs w:val="20"/>
              </w:rPr>
              <w:t>Original Position:</w:t>
            </w:r>
            <w:r w:rsidRPr="008856A3">
              <w:rPr>
                <w:sz w:val="20"/>
                <w:szCs w:val="20"/>
              </w:rPr>
              <w:t xml:space="preserve"> Buyer may instruct changes; price and delivery to be mutually agreed, failing which Supplier to proceed.</w:t>
            </w:r>
            <w:r w:rsidRPr="008856A3">
              <w:rPr>
                <w:sz w:val="20"/>
                <w:szCs w:val="20"/>
              </w:rPr>
              <w:br/>
            </w:r>
            <w:r w:rsidRPr="008856A3">
              <w:rPr>
                <w:b/>
                <w:bCs/>
                <w:sz w:val="20"/>
                <w:szCs w:val="20"/>
              </w:rPr>
              <w:t>Remarks:</w:t>
            </w:r>
            <w:r w:rsidRPr="008856A3">
              <w:rPr>
                <w:sz w:val="20"/>
                <w:szCs w:val="20"/>
              </w:rPr>
              <w:t xml:space="preserve"> Mandates written CO and full cost/schedule relief; mirrors aerospace practice (FAI, special processes).</w:t>
            </w:r>
          </w:p>
        </w:tc>
        <w:tc>
          <w:tcPr>
            <w:tcW w:w="4401" w:type="dxa"/>
            <w:hideMark/>
          </w:tcPr>
          <w:p w14:paraId="1B599586" w14:textId="77777777" w:rsidR="008856A3" w:rsidRPr="008856A3" w:rsidRDefault="008856A3">
            <w:pPr>
              <w:rPr>
                <w:sz w:val="20"/>
                <w:szCs w:val="20"/>
              </w:rPr>
            </w:pPr>
            <w:r w:rsidRPr="008856A3">
              <w:rPr>
                <w:b/>
                <w:bCs/>
                <w:sz w:val="20"/>
                <w:szCs w:val="20"/>
              </w:rPr>
              <w:t>GB’s Ideal Position:</w:t>
            </w:r>
            <w:r w:rsidRPr="008856A3">
              <w:rPr>
                <w:sz w:val="20"/>
                <w:szCs w:val="20"/>
              </w:rPr>
              <w:t xml:space="preserve"> No changes implemented without a signed Change Order capturing price/time impact. GB entitled to equitable adjustment at actuals (including supplier cancellation charges, requalification/FAI, tooling/NRE, logistics) and schedule relief tied to critical path.</w:t>
            </w:r>
          </w:p>
        </w:tc>
        <w:tc>
          <w:tcPr>
            <w:tcW w:w="1711" w:type="dxa"/>
            <w:hideMark/>
          </w:tcPr>
          <w:p w14:paraId="56C9F0CC" w14:textId="77777777" w:rsidR="008856A3" w:rsidRPr="008856A3" w:rsidRDefault="008856A3">
            <w:pPr>
              <w:rPr>
                <w:sz w:val="20"/>
                <w:szCs w:val="20"/>
              </w:rPr>
            </w:pPr>
            <w:r w:rsidRPr="008856A3">
              <w:rPr>
                <w:sz w:val="20"/>
                <w:szCs w:val="20"/>
              </w:rPr>
              <w:t>Legal team in consultation with Business Team.</w:t>
            </w:r>
          </w:p>
        </w:tc>
      </w:tr>
    </w:tbl>
    <w:p w14:paraId="30D49E70" w14:textId="77777777" w:rsidR="00D961E8" w:rsidRDefault="00D961E8" w:rsidP="00D961E8">
      <w:pPr>
        <w:jc w:val="both"/>
        <w:rPr>
          <w:sz w:val="20"/>
          <w:szCs w:val="20"/>
          <w:lang w:val="en-IN"/>
        </w:rPr>
      </w:pPr>
    </w:p>
    <w:p w14:paraId="3770037E" w14:textId="3BD384FD" w:rsidR="008856A3" w:rsidRDefault="008856A3" w:rsidP="00D961E8">
      <w:pPr>
        <w:jc w:val="both"/>
        <w:rPr>
          <w:sz w:val="20"/>
          <w:szCs w:val="20"/>
          <w:lang w:val="en-IN"/>
        </w:rPr>
      </w:pPr>
    </w:p>
    <w:p w14:paraId="5BE0C6F9" w14:textId="77777777" w:rsidR="00567BBF" w:rsidRPr="004B0DF5" w:rsidRDefault="00567BBF" w:rsidP="00D961E8">
      <w:pPr>
        <w:jc w:val="both"/>
        <w:rPr>
          <w:sz w:val="20"/>
          <w:szCs w:val="20"/>
          <w:lang w:val="en-IN"/>
        </w:rPr>
      </w:pPr>
    </w:p>
    <w:sectPr w:rsidR="00567BBF" w:rsidRPr="004B0DF5" w:rsidSect="00CB1451">
      <w:headerReference w:type="even" r:id="rId8"/>
      <w:headerReference w:type="default" r:id="rId9"/>
      <w:headerReference w:type="first" r:id="rId10"/>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0D6D" w14:textId="77777777" w:rsidR="006131E5" w:rsidRDefault="006131E5" w:rsidP="00CB1451">
      <w:pPr>
        <w:spacing w:after="0" w:line="240" w:lineRule="auto"/>
      </w:pPr>
      <w:r>
        <w:separator/>
      </w:r>
    </w:p>
  </w:endnote>
  <w:endnote w:type="continuationSeparator" w:id="0">
    <w:p w14:paraId="632364E3" w14:textId="77777777" w:rsidR="006131E5" w:rsidRDefault="006131E5" w:rsidP="00CB1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D399" w14:textId="77777777" w:rsidR="006131E5" w:rsidRDefault="006131E5" w:rsidP="00CB1451">
      <w:pPr>
        <w:spacing w:after="0" w:line="240" w:lineRule="auto"/>
      </w:pPr>
      <w:r>
        <w:separator/>
      </w:r>
    </w:p>
  </w:footnote>
  <w:footnote w:type="continuationSeparator" w:id="0">
    <w:p w14:paraId="0B43DAEB" w14:textId="77777777" w:rsidR="006131E5" w:rsidRDefault="006131E5" w:rsidP="00CB1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B8C" w14:textId="3DDC60B4" w:rsidR="002335CF" w:rsidRDefault="002335CF">
    <w:pPr>
      <w:pStyle w:val="Header"/>
    </w:pPr>
    <w:r>
      <w:rPr>
        <w:noProof/>
      </w:rPr>
      <mc:AlternateContent>
        <mc:Choice Requires="wps">
          <w:drawing>
            <wp:anchor distT="0" distB="0" distL="0" distR="0" simplePos="0" relativeHeight="251659264" behindDoc="0" locked="0" layoutInCell="1" allowOverlap="1" wp14:anchorId="4A76AF1C" wp14:editId="3F73AFB3">
              <wp:simplePos x="635" y="635"/>
              <wp:positionH relativeFrom="page">
                <wp:align>center</wp:align>
              </wp:positionH>
              <wp:positionV relativeFrom="page">
                <wp:align>top</wp:align>
              </wp:positionV>
              <wp:extent cx="424180" cy="368935"/>
              <wp:effectExtent l="0" t="0" r="13970" b="12065"/>
              <wp:wrapNone/>
              <wp:docPr id="93619906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4EC0989A" w14:textId="4DAB1992" w:rsidR="002335CF" w:rsidRPr="002335CF" w:rsidRDefault="002335CF" w:rsidP="002335CF">
                          <w:pPr>
                            <w:spacing w:after="0"/>
                            <w:rPr>
                              <w:rFonts w:ascii="Aptos" w:eastAsia="Aptos" w:hAnsi="Aptos" w:cs="Aptos"/>
                              <w:noProof/>
                              <w:color w:val="000000"/>
                              <w:sz w:val="20"/>
                              <w:szCs w:val="20"/>
                            </w:rPr>
                          </w:pPr>
                          <w:r w:rsidRPr="002335CF">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76AF1C" id="_x0000_t202" coordsize="21600,21600" o:spt="202" path="m,l,21600r21600,l21600,xe">
              <v:stroke joinstyle="miter"/>
              <v:path gradientshapeok="t" o:connecttype="rect"/>
            </v:shapetype>
            <v:shape id="Text Box 2" o:spid="_x0000_s1026" type="#_x0000_t202" alt="Internal" style="position:absolute;margin-left:0;margin-top:0;width:33.4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ZqVCgIAABU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" filled="f" stroked="f">
              <v:textbox style="mso-fit-shape-to-text:t" inset="0,15pt,0,0">
                <w:txbxContent>
                  <w:p w14:paraId="4EC0989A" w14:textId="4DAB1992" w:rsidR="002335CF" w:rsidRPr="002335CF" w:rsidRDefault="002335CF" w:rsidP="002335CF">
                    <w:pPr>
                      <w:spacing w:after="0"/>
                      <w:rPr>
                        <w:rFonts w:ascii="Aptos" w:eastAsia="Aptos" w:hAnsi="Aptos" w:cs="Aptos"/>
                        <w:noProof/>
                        <w:color w:val="000000"/>
                        <w:sz w:val="20"/>
                        <w:szCs w:val="20"/>
                      </w:rPr>
                    </w:pPr>
                    <w:r w:rsidRPr="002335CF">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A821" w14:textId="2549CECA" w:rsidR="00CB1451" w:rsidRPr="00CB1451" w:rsidRDefault="002335CF" w:rsidP="00CB1451">
    <w:pPr>
      <w:pStyle w:val="Header"/>
      <w:jc w:val="right"/>
      <w:rPr>
        <w:b/>
        <w:bCs/>
        <w:sz w:val="16"/>
        <w:szCs w:val="16"/>
        <w:lang w:val="en-IN"/>
      </w:rPr>
    </w:pPr>
    <w:r>
      <w:rPr>
        <w:noProof/>
        <w:sz w:val="16"/>
        <w:szCs w:val="16"/>
        <w:lang w:val="en-IN"/>
      </w:rPr>
      <mc:AlternateContent>
        <mc:Choice Requires="wps">
          <w:drawing>
            <wp:anchor distT="0" distB="0" distL="0" distR="0" simplePos="0" relativeHeight="251660288" behindDoc="0" locked="0" layoutInCell="1" allowOverlap="1" wp14:anchorId="1B8EEE55" wp14:editId="22BB4DDB">
              <wp:simplePos x="914400" y="457200"/>
              <wp:positionH relativeFrom="page">
                <wp:align>center</wp:align>
              </wp:positionH>
              <wp:positionV relativeFrom="page">
                <wp:align>top</wp:align>
              </wp:positionV>
              <wp:extent cx="424180" cy="368935"/>
              <wp:effectExtent l="0" t="0" r="13970" b="12065"/>
              <wp:wrapNone/>
              <wp:docPr id="70755499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2A1ABB10" w14:textId="5E870B49" w:rsidR="002335CF" w:rsidRPr="002335CF" w:rsidRDefault="002335CF" w:rsidP="002335CF">
                          <w:pPr>
                            <w:spacing w:after="0"/>
                            <w:rPr>
                              <w:rFonts w:ascii="Aptos" w:eastAsia="Aptos" w:hAnsi="Aptos" w:cs="Aptos"/>
                              <w:noProof/>
                              <w:color w:val="000000"/>
                              <w:sz w:val="20"/>
                              <w:szCs w:val="20"/>
                            </w:rPr>
                          </w:pPr>
                          <w:r w:rsidRPr="002335CF">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8EEE55" id="_x0000_t202" coordsize="21600,21600" o:spt="202" path="m,l,21600r21600,l21600,xe">
              <v:stroke joinstyle="miter"/>
              <v:path gradientshapeok="t" o:connecttype="rect"/>
            </v:shapetype>
            <v:shape id="Text Box 3" o:spid="_x0000_s1027" type="#_x0000_t202" alt="Internal" style="position:absolute;left:0;text-align:left;margin-left:0;margin-top:0;width:33.4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qrDAIAABw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" filled="f" stroked="f">
              <v:textbox style="mso-fit-shape-to-text:t" inset="0,15pt,0,0">
                <w:txbxContent>
                  <w:p w14:paraId="2A1ABB10" w14:textId="5E870B49" w:rsidR="002335CF" w:rsidRPr="002335CF" w:rsidRDefault="002335CF" w:rsidP="002335CF">
                    <w:pPr>
                      <w:spacing w:after="0"/>
                      <w:rPr>
                        <w:rFonts w:ascii="Aptos" w:eastAsia="Aptos" w:hAnsi="Aptos" w:cs="Aptos"/>
                        <w:noProof/>
                        <w:color w:val="000000"/>
                        <w:sz w:val="20"/>
                        <w:szCs w:val="20"/>
                      </w:rPr>
                    </w:pPr>
                    <w:r w:rsidRPr="002335CF">
                      <w:rPr>
                        <w:rFonts w:ascii="Aptos" w:eastAsia="Aptos" w:hAnsi="Aptos" w:cs="Aptos"/>
                        <w:noProof/>
                        <w:color w:val="000000"/>
                        <w:sz w:val="20"/>
                        <w:szCs w:val="20"/>
                      </w:rPr>
                      <w:t>Internal</w:t>
                    </w:r>
                  </w:p>
                </w:txbxContent>
              </v:textbox>
              <w10:wrap anchorx="page" anchory="page"/>
            </v:shape>
          </w:pict>
        </mc:Fallback>
      </mc:AlternateContent>
    </w:r>
    <w:r w:rsidR="00CB1451" w:rsidRPr="00CB1451">
      <w:rPr>
        <w:sz w:val="16"/>
        <w:szCs w:val="16"/>
        <w:lang w:val="en-IN"/>
      </w:rPr>
      <w:t xml:space="preserve">G&amp;B Corporate Legal | </w:t>
    </w:r>
    <w:r w:rsidR="00CB1451" w:rsidRPr="00CB1451">
      <w:rPr>
        <w:b/>
        <w:bCs/>
        <w:sz w:val="16"/>
        <w:szCs w:val="16"/>
        <w:lang w:val="en-IN"/>
      </w:rPr>
      <w:t>Corporate Advisory</w:t>
    </w:r>
  </w:p>
  <w:p w14:paraId="7A213018" w14:textId="799F0EAB" w:rsidR="00CB1451" w:rsidRPr="00CB1451" w:rsidRDefault="005F6AEB" w:rsidP="00CB1451">
    <w:pPr>
      <w:pStyle w:val="Header"/>
      <w:jc w:val="right"/>
      <w:rPr>
        <w:sz w:val="16"/>
        <w:szCs w:val="16"/>
        <w:lang w:val="en-IN"/>
      </w:rPr>
    </w:pPr>
    <w:r>
      <w:rPr>
        <w:sz w:val="16"/>
        <w:szCs w:val="16"/>
        <w:lang w:val="en-IN"/>
      </w:rPr>
      <w:t>19.02.2026</w:t>
    </w:r>
  </w:p>
  <w:p w14:paraId="19C27BE0" w14:textId="1D18906C" w:rsidR="00CB1451" w:rsidRPr="00CB1451" w:rsidRDefault="00CB1451" w:rsidP="00CB1451">
    <w:pPr>
      <w:pStyle w:val="Header"/>
      <w:jc w:val="right"/>
      <w:rPr>
        <w:i/>
        <w:iCs/>
        <w:color w:val="FF0000"/>
        <w:sz w:val="16"/>
        <w:szCs w:val="16"/>
        <w:lang w:val="en-IN"/>
      </w:rPr>
    </w:pPr>
    <w:r w:rsidRPr="00CB1451">
      <w:rPr>
        <w:i/>
        <w:iCs/>
        <w:color w:val="FF0000"/>
        <w:sz w:val="16"/>
        <w:szCs w:val="16"/>
        <w:lang w:val="en-IN"/>
      </w:rPr>
      <w:t xml:space="preserve">Privileged &amp; Confidential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7053" w14:textId="4FDB8012" w:rsidR="002335CF" w:rsidRDefault="002335CF">
    <w:pPr>
      <w:pStyle w:val="Header"/>
    </w:pPr>
    <w:r>
      <w:rPr>
        <w:noProof/>
      </w:rPr>
      <mc:AlternateContent>
        <mc:Choice Requires="wps">
          <w:drawing>
            <wp:anchor distT="0" distB="0" distL="0" distR="0" simplePos="0" relativeHeight="251658240" behindDoc="0" locked="0" layoutInCell="1" allowOverlap="1" wp14:anchorId="32CD24E1" wp14:editId="3965D164">
              <wp:simplePos x="635" y="635"/>
              <wp:positionH relativeFrom="page">
                <wp:align>center</wp:align>
              </wp:positionH>
              <wp:positionV relativeFrom="page">
                <wp:align>top</wp:align>
              </wp:positionV>
              <wp:extent cx="424180" cy="368935"/>
              <wp:effectExtent l="0" t="0" r="13970" b="12065"/>
              <wp:wrapNone/>
              <wp:docPr id="1010612996"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7C47B3CC" w14:textId="65C9A18D" w:rsidR="002335CF" w:rsidRPr="002335CF" w:rsidRDefault="002335CF" w:rsidP="002335CF">
                          <w:pPr>
                            <w:spacing w:after="0"/>
                            <w:rPr>
                              <w:rFonts w:ascii="Aptos" w:eastAsia="Aptos" w:hAnsi="Aptos" w:cs="Aptos"/>
                              <w:noProof/>
                              <w:color w:val="000000"/>
                              <w:sz w:val="20"/>
                              <w:szCs w:val="20"/>
                            </w:rPr>
                          </w:pPr>
                          <w:r w:rsidRPr="002335CF">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CD24E1" id="_x0000_t202" coordsize="21600,21600" o:spt="202" path="m,l,21600r21600,l21600,xe">
              <v:stroke joinstyle="miter"/>
              <v:path gradientshapeok="t" o:connecttype="rect"/>
            </v:shapetype>
            <v:shape id="Text Box 1" o:spid="_x0000_s1028" type="#_x0000_t202" alt="Internal" style="position:absolute;margin-left:0;margin-top:0;width:33.4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" filled="f" stroked="f">
              <v:textbox style="mso-fit-shape-to-text:t" inset="0,15pt,0,0">
                <w:txbxContent>
                  <w:p w14:paraId="7C47B3CC" w14:textId="65C9A18D" w:rsidR="002335CF" w:rsidRPr="002335CF" w:rsidRDefault="002335CF" w:rsidP="002335CF">
                    <w:pPr>
                      <w:spacing w:after="0"/>
                      <w:rPr>
                        <w:rFonts w:ascii="Aptos" w:eastAsia="Aptos" w:hAnsi="Aptos" w:cs="Aptos"/>
                        <w:noProof/>
                        <w:color w:val="000000"/>
                        <w:sz w:val="20"/>
                        <w:szCs w:val="20"/>
                      </w:rPr>
                    </w:pPr>
                    <w:r w:rsidRPr="002335CF">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60ED6"/>
    <w:multiLevelType w:val="hybridMultilevel"/>
    <w:tmpl w:val="9AD6772E"/>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num w:numId="1" w16cid:durableId="1682513939">
    <w:abstractNumId w:val="8"/>
  </w:num>
  <w:num w:numId="2" w16cid:durableId="283509015">
    <w:abstractNumId w:val="6"/>
  </w:num>
  <w:num w:numId="3" w16cid:durableId="1815560816">
    <w:abstractNumId w:val="5"/>
  </w:num>
  <w:num w:numId="4" w16cid:durableId="1278105258">
    <w:abstractNumId w:val="4"/>
  </w:num>
  <w:num w:numId="5" w16cid:durableId="1650745413">
    <w:abstractNumId w:val="7"/>
  </w:num>
  <w:num w:numId="6" w16cid:durableId="665985203">
    <w:abstractNumId w:val="3"/>
  </w:num>
  <w:num w:numId="7" w16cid:durableId="1407875641">
    <w:abstractNumId w:val="2"/>
  </w:num>
  <w:num w:numId="8" w16cid:durableId="42675146">
    <w:abstractNumId w:val="1"/>
  </w:num>
  <w:num w:numId="9" w16cid:durableId="1254242517">
    <w:abstractNumId w:val="0"/>
  </w:num>
  <w:num w:numId="10" w16cid:durableId="1716077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7E5"/>
    <w:rsid w:val="001B2E26"/>
    <w:rsid w:val="002335CF"/>
    <w:rsid w:val="0029639D"/>
    <w:rsid w:val="002A5F43"/>
    <w:rsid w:val="002C372E"/>
    <w:rsid w:val="002F769F"/>
    <w:rsid w:val="00326F90"/>
    <w:rsid w:val="003F770A"/>
    <w:rsid w:val="00472266"/>
    <w:rsid w:val="004B0DF5"/>
    <w:rsid w:val="004D0BAA"/>
    <w:rsid w:val="00567BBF"/>
    <w:rsid w:val="005A551C"/>
    <w:rsid w:val="005B34DF"/>
    <w:rsid w:val="005D4502"/>
    <w:rsid w:val="005F6AEB"/>
    <w:rsid w:val="006131E5"/>
    <w:rsid w:val="00613D81"/>
    <w:rsid w:val="00702EFA"/>
    <w:rsid w:val="00713936"/>
    <w:rsid w:val="00746D33"/>
    <w:rsid w:val="007A73E1"/>
    <w:rsid w:val="00843933"/>
    <w:rsid w:val="008856A3"/>
    <w:rsid w:val="00890703"/>
    <w:rsid w:val="008D794C"/>
    <w:rsid w:val="008E78D4"/>
    <w:rsid w:val="00AA1D8D"/>
    <w:rsid w:val="00AB5FF0"/>
    <w:rsid w:val="00B47730"/>
    <w:rsid w:val="00CB0664"/>
    <w:rsid w:val="00CB1451"/>
    <w:rsid w:val="00D22015"/>
    <w:rsid w:val="00D961E8"/>
    <w:rsid w:val="00E27072"/>
    <w:rsid w:val="00E31B73"/>
    <w:rsid w:val="00F26489"/>
    <w:rsid w:val="00F83640"/>
    <w:rsid w:val="00F87B0C"/>
    <w:rsid w:val="00F90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78E1C"/>
  <w14:defaultImageDpi w14:val="300"/>
  <w15:docId w15:val="{EBF71C94-944F-4A12-8020-F979C6FFE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10</Pages>
  <Words>2476</Words>
  <Characters>15921</Characters>
  <Application>Microsoft Office Word</Application>
  <DocSecurity>0</DocSecurity>
  <Lines>549</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G&amp;B Corporate Advisory (AM)</cp:lastModifiedBy>
  <cp:revision>29</cp:revision>
  <dcterms:created xsi:type="dcterms:W3CDTF">2013-12-23T23:15:00Z</dcterms:created>
  <dcterms:modified xsi:type="dcterms:W3CDTF">2026-02-19T08:41:00Z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3c3cbb04,37cd4394,2a2c6eaf</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0c9778cf-0fe9-42c9-91e8-a999b94bbe98_Enabled">
    <vt:lpwstr>true</vt:lpwstr>
  </property>
  <property fmtid="{D5CDD505-2E9C-101B-9397-08002B2CF9AE}" pid="6" name="MSIP_Label_0c9778cf-0fe9-42c9-91e8-a999b94bbe98_SetDate">
    <vt:lpwstr>2026-02-10T04:52:20Z</vt:lpwstr>
  </property>
  <property fmtid="{D5CDD505-2E9C-101B-9397-08002B2CF9AE}" pid="7" name="MSIP_Label_0c9778cf-0fe9-42c9-91e8-a999b94bbe98_Method">
    <vt:lpwstr>Standard</vt:lpwstr>
  </property>
  <property fmtid="{D5CDD505-2E9C-101B-9397-08002B2CF9AE}" pid="8" name="MSIP_Label_0c9778cf-0fe9-42c9-91e8-a999b94bbe98_Name">
    <vt:lpwstr>Internal-O365</vt:lpwstr>
  </property>
  <property fmtid="{D5CDD505-2E9C-101B-9397-08002B2CF9AE}" pid="9" name="MSIP_Label_0c9778cf-0fe9-42c9-91e8-a999b94bbe98_SiteId">
    <vt:lpwstr>d44ff723-4fa7-405e-afc0-43c21e573043</vt:lpwstr>
  </property>
  <property fmtid="{D5CDD505-2E9C-101B-9397-08002B2CF9AE}" pid="10" name="MSIP_Label_0c9778cf-0fe9-42c9-91e8-a999b94bbe98_ActionId">
    <vt:lpwstr>23dea932-259d-44c4-8cc7-e08f430b5917</vt:lpwstr>
  </property>
  <property fmtid="{D5CDD505-2E9C-101B-9397-08002B2CF9AE}" pid="11" name="MSIP_Label_0c9778cf-0fe9-42c9-91e8-a999b94bbe98_ContentBits">
    <vt:lpwstr>1</vt:lpwstr>
  </property>
  <property fmtid="{D5CDD505-2E9C-101B-9397-08002B2CF9AE}" pid="12" name="MSIP_Label_0c9778cf-0fe9-42c9-91e8-a999b94bbe98_Tag">
    <vt:lpwstr>10, 3, 0, 1</vt:lpwstr>
  </property>
</Properties>
</file>