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Aerospace Supply Agreement (Showcase Input)</w:t>
      </w:r>
    </w:p>
    <w:p>
      <w:r>
        <w:t>This sample contract is intentionally drafted to demonstrate clause extraction, risk scoring, mitigation, checklist generation, and counterfactual outputs across the 10 POC positions.</w:t>
      </w:r>
    </w:p>
    <w:p>
      <w:pPr>
        <w:pStyle w:val="Heading2"/>
      </w:pPr>
      <w:r>
        <w:t>1. Limitation of Liability and Exclusion of Consequential Damages</w:t>
      </w:r>
    </w:p>
    <w:p>
      <w:r>
        <w:t>Supplier liability shall not exceed 150% of total Agreement value. Consequential and indirect damages are not excluded.</w:t>
      </w:r>
    </w:p>
    <w:p>
      <w:pPr>
        <w:pStyle w:val="Heading2"/>
      </w:pPr>
      <w:r>
        <w:t>2. Applicable / Governing Law - Choice of Law and Jurisdiction</w:t>
      </w:r>
    </w:p>
    <w:p>
      <w:r>
        <w:t>This Agreement is governed by the laws of India and the courts at Mumbai shall have exclusive jurisdiction.</w:t>
      </w:r>
    </w:p>
    <w:p>
      <w:pPr>
        <w:pStyle w:val="Heading2"/>
      </w:pPr>
      <w:r>
        <w:t>3. Dispute Resolution</w:t>
      </w:r>
    </w:p>
    <w:p>
      <w:r>
        <w:t>Parties shall first attempt mediation; unresolved disputes shall be finally settled by arbitration under SIAC rules, seat Singapore, language English, tribunal of three arbitrators.</w:t>
      </w:r>
    </w:p>
    <w:p>
      <w:pPr>
        <w:pStyle w:val="Heading2"/>
      </w:pPr>
      <w:r>
        <w:t>4. Firm Price</w:t>
      </w:r>
    </w:p>
    <w:p>
      <w:r>
        <w:t>Pricing is firm and fixed for the term, except for documented change order, change in law, and proven raw material cost variation.</w:t>
      </w:r>
    </w:p>
    <w:p>
      <w:pPr>
        <w:pStyle w:val="Heading2"/>
      </w:pPr>
      <w:r>
        <w:t>5. Force Majeure</w:t>
      </w:r>
    </w:p>
    <w:p>
      <w:r>
        <w:t>Force majeure includes acts of God and government orders; however, economic hardship and cash-flow constraints are also treated as force majeure events.</w:t>
      </w:r>
    </w:p>
    <w:p>
      <w:pPr>
        <w:pStyle w:val="Heading2"/>
      </w:pPr>
      <w:r>
        <w:t>6. Liquidated Damages</w:t>
      </w:r>
    </w:p>
    <w:p>
      <w:r>
        <w:t>Liquidated damages are set at 1.0% per week on total contract value, capped at 12%, and may be applied in addition to other remedies.</w:t>
      </w:r>
    </w:p>
    <w:p>
      <w:pPr>
        <w:pStyle w:val="Heading2"/>
      </w:pPr>
      <w:r>
        <w:t>7. Orders Extending Beyond Termination</w:t>
      </w:r>
    </w:p>
    <w:p>
      <w:r>
        <w:t>Upon termination, all accepted in-effect orders will continue unless mutually agreed otherwise; repricing rights for long-overhang orders may be discussed.</w:t>
      </w:r>
    </w:p>
    <w:p>
      <w:pPr>
        <w:pStyle w:val="Heading2"/>
      </w:pPr>
      <w:r>
        <w:t>8. Quantity Protection</w:t>
      </w:r>
    </w:p>
    <w:p>
      <w:r>
        <w:t>Buyer forecasts are non-binding and may vary without liability; no reimbursement applies for deviations beyond plus or minus 20%.</w:t>
      </w:r>
    </w:p>
    <w:p>
      <w:pPr>
        <w:pStyle w:val="Heading2"/>
      </w:pPr>
      <w:r>
        <w:t>9. Inventory Requirements</w:t>
      </w:r>
    </w:p>
    <w:p>
      <w:r>
        <w:t>Supplier shall maintain inventory against non-binding forecasts up to a maximum of 8 weeks of raw material and finished goods.</w:t>
      </w:r>
    </w:p>
    <w:p>
      <w:pPr>
        <w:pStyle w:val="Heading2"/>
      </w:pPr>
      <w:r>
        <w:t>10. Change Orders Procedure</w:t>
      </w:r>
    </w:p>
    <w:p>
      <w:r>
        <w:t>Engineering and scope changes may be implemented upon email approval; formal signed change orders can be completed later to capture time and price impact.</w:t>
      </w:r>
    </w:p>
    <w:p>
      <w:r>
        <w:t>End of showcase sample.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