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AGREEMENT</w:t>
      </w:r>
    </w:p>
    <w:p>
      <w:r>
        <w:t>This Supply Agreement (“Agreement”) is entered into on 15 March 2026 between:</w:t>
      </w:r>
    </w:p>
    <w:p>
      <w:r>
        <w:t>AeroTech Systems Pte. Ltd., a company incorporated under the laws of Singapore, having its registered office at 12 Changi Aerospace Park, Singapore (“Buyer”)</w:t>
      </w:r>
    </w:p>
    <w:p>
      <w:r>
        <w:t>AND</w:t>
      </w:r>
    </w:p>
    <w:p>
      <w:r>
        <w:t>GB Aerospace Manufacturing Pvt. Ltd., a company incorporated under the laws of India, having its registered office at Mumbai, India (“Supplier”).</w:t>
      </w:r>
    </w:p>
    <w:p>
      <w:r>
        <w:t>Buyer and Supplier are collectively referred to as the “Parties”.</w:t>
      </w:r>
    </w:p>
    <w:p>
      <w:r>
        <w:t>1. Scope of Supply</w:t>
      </w:r>
    </w:p>
    <w:p>
      <w:r>
        <w:t>Supplier shall manufacture and supply aerospace-grade actuator components, related assemblies, and associated documentation in accordance with the technical specifications set out in Schedule A.</w:t>
      </w:r>
    </w:p>
    <w:p>
      <w:r>
        <w:t>Supplier shall deliver the goods to Buyer’s designated facility in Singapore.</w:t>
      </w:r>
    </w:p>
    <w:p>
      <w:r>
        <w:t>2. Limitation of Liability</w:t>
      </w:r>
    </w:p>
    <w:p>
      <w:r>
        <w:t>Subject to the provisions of this Agreement, Supplier’s aggregate liability arising out of or in connection with this Agreement shall not exceed two hundred percent (200%) of the total Agreement value.</w:t>
      </w:r>
    </w:p>
    <w:p>
      <w:r>
        <w:t>Neither Party shall exclude liability for loss of profits, business interruption, or loss of goodwill arising out of this Agreement.</w:t>
      </w:r>
    </w:p>
    <w:p>
      <w:r>
        <w:t>Supplier shall also remain liable for any damages caused by delay or performance failure irrespective of fault.</w:t>
      </w:r>
    </w:p>
    <w:p>
      <w:r>
        <w:t>3. Governing Law</w:t>
      </w:r>
    </w:p>
    <w:p>
      <w:r>
        <w:t>This Agreement shall be governed by and construed in accordance with the laws of the State of California, United States, without regard to conflict of laws rules.</w:t>
      </w:r>
    </w:p>
    <w:p>
      <w:r>
        <w:t>The courts located in San Francisco, California shall have exclusive jurisdiction over disputes arising under this Agreement.</w:t>
      </w:r>
    </w:p>
    <w:p>
      <w:r>
        <w:t>4. Dispute Resolution</w:t>
      </w:r>
    </w:p>
    <w:p>
      <w:r>
        <w:t>Any dispute arising out of this Agreement shall be resolved through binding arbitration administered by the International Chamber of Commerce (ICC).</w:t>
      </w:r>
    </w:p>
    <w:p>
      <w:r>
        <w:t>The arbitration shall take place in Paris, France, and shall be conducted by three arbitrators.</w:t>
      </w:r>
    </w:p>
    <w:p>
      <w:r>
        <w:t>The language of arbitration shall be English.</w:t>
      </w:r>
    </w:p>
    <w:p>
      <w:r>
        <w:t>The parties agree that mediation shall not be mandatory prior to arbitration.</w:t>
      </w:r>
    </w:p>
    <w:p>
      <w:r>
        <w:t>5. Pricing</w:t>
      </w:r>
    </w:p>
    <w:p>
      <w:r>
        <w:t>The prices set out in Schedule B shall remain firm and fixed for the entire duration of the Agreement.</w:t>
      </w:r>
    </w:p>
    <w:p>
      <w:r>
        <w:t>Supplier shall not be entitled to any price adjustment due to changes in raw material costs, taxation changes, or delays in project execution unless approved in writing by Buyer.</w:t>
      </w:r>
    </w:p>
    <w:p>
      <w:r>
        <w:t>6. Force Majeure</w:t>
      </w:r>
    </w:p>
    <w:p>
      <w:r>
        <w:t>Neither Party shall be liable for failure to perform due to events beyond reasonable control, including war, riots, or natural disasters.</w:t>
      </w:r>
    </w:p>
    <w:p>
      <w:r>
        <w:t>Economic hardship, shortage of labor, and market fluctuations shall also constitute force majeure events.</w:t>
      </w:r>
    </w:p>
    <w:p>
      <w:r>
        <w:t>If a force majeure event continues for more than 180 days, either Party may terminate the Agreement.</w:t>
      </w:r>
    </w:p>
    <w:p>
      <w:r>
        <w:t>Payment obligations may also be suspended during a force majeure event.</w:t>
      </w:r>
    </w:p>
    <w:p>
      <w:r>
        <w:t>7. Liquidated Damages</w:t>
      </w:r>
    </w:p>
    <w:p>
      <w:r>
        <w:t>If Supplier fails to deliver goods in accordance with the delivery schedule, Supplier shall pay liquidated damages of 2% of the total contract value per week of delay.</w:t>
      </w:r>
    </w:p>
    <w:p>
      <w:r>
        <w:t>The total liquidated damages payable shall not exceed 20% of the Agreement value.</w:t>
      </w:r>
    </w:p>
    <w:p>
      <w:r>
        <w:t>Such damages shall apply regardless of the cause of delay.</w:t>
      </w:r>
    </w:p>
    <w:p>
      <w:r>
        <w:t>8. Orders Extending Beyond Termination</w:t>
      </w:r>
    </w:p>
    <w:p>
      <w:r>
        <w:t>Termination or expiry of this Agreement shall not affect any purchase orders issued during the term.</w:t>
      </w:r>
    </w:p>
    <w:p>
      <w:r>
        <w:t>Supplier shall continue supplying goods under such purchase orders until completion of delivery obligations.</w:t>
      </w:r>
    </w:p>
    <w:p>
      <w:r>
        <w:t>Prices under such continuing orders shall remain unchanged.</w:t>
      </w:r>
    </w:p>
    <w:p>
      <w:r>
        <w:t>9. Quantity Commitments</w:t>
      </w:r>
    </w:p>
    <w:p>
      <w:r>
        <w:t>Buyer forecasts shall be non-binding, and Buyer may revise quantities at its sole discretion.</w:t>
      </w:r>
    </w:p>
    <w:p>
      <w:r>
        <w:t>Supplier shall maintain production capacity and inventory in accordance with Buyer forecasts.</w:t>
      </w:r>
    </w:p>
    <w:p>
      <w:r>
        <w:t>No reimbursement shall be payable to Supplier for excess inventory resulting from forecast reductions.</w:t>
      </w:r>
    </w:p>
    <w:p>
      <w:r>
        <w:t>10. Inventory Obligations</w:t>
      </w:r>
    </w:p>
    <w:p>
      <w:r>
        <w:t>Supplier shall maintain inventory of raw materials and finished goods equivalent to twelve (12) weeks of forecast demand.</w:t>
      </w:r>
    </w:p>
    <w:p>
      <w:r>
        <w:t>Supplier shall bear all costs related to storage, insurance, and potential obsolescence of such inventory.</w:t>
      </w:r>
    </w:p>
    <w:p>
      <w:r>
        <w:t>11. Change Orders</w:t>
      </w:r>
    </w:p>
    <w:p>
      <w:r>
        <w:t>Buyer may instruct changes to specifications, production processes, or delivery schedules.</w:t>
      </w:r>
    </w:p>
    <w:p>
      <w:r>
        <w:t>Supplier shall implement such changes immediately.</w:t>
      </w:r>
    </w:p>
    <w:p>
      <w:r>
        <w:t>Any price adjustments or schedule impacts shall be discussed after implementation of the changes.</w:t>
      </w:r>
    </w:p>
    <w:p>
      <w:r>
        <w:t>12. Term</w:t>
      </w:r>
    </w:p>
    <w:p>
      <w:r>
        <w:t>This Agreement shall remain in force for five (5) years from the Effective Date unless terminated earlier in accordance with its terms.</w:t>
      </w:r>
    </w:p>
    <w:p>
      <w:r>
        <w:t>13. Confidentiality</w:t>
      </w:r>
    </w:p>
    <w:p>
      <w:r>
        <w:t>Both Parties shall maintain the confidentiality of proprietary information received in connection with this Agreement.</w:t>
      </w:r>
    </w:p>
    <w:p>
      <w:r>
        <w:t>14. Entire Agreement</w:t>
      </w:r>
    </w:p>
    <w:p>
      <w:r>
        <w:t>This Agreement constitutes the entire agreement between the Parties.</w:t>
      </w:r>
    </w:p>
    <w:p>
      <w:r>
        <w:t>IN WITNESS WHEREOF, the Parties have executed this Agreement as of the date first written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