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F4C81"/>
          <w:sz w:val="52"/>
          <w:szCs w:val="52"/>
        </w:rPr>
        <w:t xml:space="preserve">SOFTWARE REQUIREMENTS</w:t>
      </w:r>
    </w:p>
    <w:p>
      <w:pPr>
        <w:spacing w:after="40"/>
        <w:jc w:val="center"/>
      </w:pPr>
      <w:r>
        <w:rPr>
          <w:b/>
          <w:bCs/>
          <w:color w:val="0F4C81"/>
          <w:sz w:val="52"/>
          <w:szCs w:val="52"/>
        </w:rPr>
        <w:t xml:space="preserve">SPECIFICATION</w:t>
      </w:r>
    </w:p>
    <w:p>
      <w:pPr>
        <w:spacing w:after="300" w:before="60"/>
        <w:jc w:val="center"/>
      </w:pPr>
      <w:r>
        <w:rPr>
          <w:b/>
          <w:bCs/>
          <w:color w:val="1B7A6E"/>
          <w:sz w:val="24"/>
          <w:szCs w:val="24"/>
        </w:rPr>
        <w:t xml:space="preserve">————————  SRS  ————————</w:t>
      </w:r>
    </w:p>
    <w:p>
      <w:pPr>
        <w:spacing w:after="30"/>
        <w:jc w:val="center"/>
      </w:pPr>
      <w:r>
        <w:rPr>
          <w:b/>
          <w:bCs/>
          <w:color w:val="1A1A2E"/>
          <w:sz w:val="40"/>
          <w:szCs w:val="40"/>
        </w:rPr>
        <w:t xml:space="preserve">SmartReco</w:t>
      </w:r>
    </w:p>
    <w:p>
      <w:pPr>
        <w:spacing w:after="240"/>
        <w:jc w:val="center"/>
      </w:pPr>
      <w:r>
        <w:rPr>
          <w:i/>
          <w:iCs/>
          <w:color w:val="5B6270"/>
          <w:sz w:val="26"/>
          <w:szCs w:val="26"/>
        </w:rPr>
        <w:t xml:space="preserve">A Behavioral AI Recommendation Agent</w:t>
      </w:r>
    </w:p>
    <w:p>
      <w:pPr>
        <w:pBdr>
          <w:top w:val="single" w:color="1B7A6E" w:sz="4" w:space="4"/>
          <w:bottom w:val="single" w:color="1B7A6E" w:sz="4" w:space="4"/>
        </w:pBdr>
        <w:spacing w:after="120" w:before="120"/>
        <w:jc w:val="center"/>
      </w:pPr>
      <w:r>
        <w:rPr>
          <w:b/>
          <w:bCs/>
          <w:color w:val="0F4C81"/>
          <w:sz w:val="22"/>
          <w:szCs w:val="22"/>
        </w:rPr>
        <w:t xml:space="preserve">SmartReco Build Challenge 2026  ·  Powered by Mesh API</w:t>
      </w:r>
    </w:p>
    <w:p>
      <w:pPr>
        <w:spacing w:before="360"/>
        <w:jc w:val="center"/>
      </w:pPr>
      <w:r>
        <w:rPr>
          <w:color w:val="5B6270"/>
          <w:sz w:val="21"/>
          <w:szCs w:val="21"/>
        </w:rPr>
        <w:t xml:space="preserve">Prepared for: Solo Participant Submission</w:t>
      </w:r>
    </w:p>
    <w:p>
      <w:pPr>
        <w:spacing w:after="20" w:before="60"/>
        <w:jc w:val="center"/>
      </w:pPr>
      <w:r>
        <w:rPr>
          <w:color w:val="5B6270"/>
          <w:sz w:val="21"/>
          <w:szCs w:val="21"/>
        </w:rPr>
        <w:t xml:space="preserve">Document Version 1.0</w:t>
      </w:r>
    </w:p>
    <w:p>
      <w:pPr>
        <w:jc w:val="center"/>
      </w:pPr>
      <w:r>
        <w:rPr>
          <w:color w:val="5B6270"/>
          <w:sz w:val="21"/>
          <w:szCs w:val="21"/>
        </w:rPr>
        <w:t xml:space="preserve">Status: Draft for Approval</w:t>
      </w:r>
    </w:p>
    <w:p>
      <w:r>
        <w:br w:type="page"/>
      </w:r>
    </w:p>
    <w:p>
      <w:pPr>
        <w:pStyle w:val="Heading1"/>
        <w:spacing w:after="160"/>
      </w:pPr>
      <w:r>
        <w:rPr>
          <w:b/>
          <w:bCs/>
          <w:color w:val="0F4C81"/>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0F4C81"/>
          <w:sz w:val="30"/>
          <w:szCs w:val="30"/>
        </w:rPr>
        <w:t xml:space="preserve">1.  Introduction</w:t>
      </w:r>
    </w:p>
    <w:p>
      <w:pPr>
        <w:pStyle w:val="Heading2"/>
        <w:spacing w:after="100" w:before="220"/>
      </w:pPr>
      <w:r>
        <w:rPr>
          <w:b/>
          <w:bCs/>
          <w:color w:val="1A1A2E"/>
          <w:sz w:val="25"/>
          <w:szCs w:val="25"/>
        </w:rPr>
        <w:t xml:space="preserve">1.1  Purpose</w:t>
      </w:r>
    </w:p>
    <w:p>
      <w:pPr>
        <w:spacing w:after="120" w:line="276"/>
        <w:jc w:val="both"/>
      </w:pPr>
      <w:r>
        <w:rPr>
          <w:color w:val="1A1A2E"/>
          <w:sz w:val="21"/>
          <w:szCs w:val="21"/>
        </w:rPr>
        <w:t xml:space="preserve">This Software Requirements Specification (SRS) defines the complete functional and non-functional requirements for </w:t>
      </w:r>
      <w:r>
        <w:rPr>
          <w:b/>
          <w:bCs/>
          <w:color w:val="1A1A2E"/>
          <w:sz w:val="21"/>
          <w:szCs w:val="21"/>
        </w:rPr>
        <w:t xml:space="preserve">SmartReco</w:t>
      </w:r>
      <w:r>
        <w:rPr>
          <w:color w:val="1A1A2E"/>
          <w:sz w:val="21"/>
          <w:szCs w:val="21"/>
        </w:rPr>
        <w:t xml:space="preserve">, a behavioral AI recommendation platform built for the SmartReco Build Challenge 2026. The document is the single source of truth for what will be built, the technology used, the architecture, and the criteria by which the finished system will be judged a success. It is written so that the solo developer can implement directly against it, and so that a reviewer could verify the delivered system against each requirement.</w:t>
      </w:r>
    </w:p>
    <w:p>
      <w:pPr>
        <w:pStyle w:val="Heading2"/>
        <w:spacing w:after="100" w:before="220"/>
      </w:pPr>
      <w:r>
        <w:rPr>
          <w:b/>
          <w:bCs/>
          <w:color w:val="1A1A2E"/>
          <w:sz w:val="25"/>
          <w:szCs w:val="25"/>
        </w:rPr>
        <w:t xml:space="preserve">1.2  Project Overview</w:t>
      </w:r>
    </w:p>
    <w:p>
      <w:pPr>
        <w:spacing w:after="120" w:line="276"/>
        <w:jc w:val="both"/>
      </w:pPr>
      <w:r>
        <w:rPr>
          <w:color w:val="1A1A2E"/>
          <w:sz w:val="21"/>
          <w:szCs w:val="21"/>
        </w:rPr>
        <w:t xml:space="preserve">SmartReco is a course/product learning-marketplace web application that observes how each user behaves — the products they view, the searches they run, where they linger — and uses an </w:t>
      </w:r>
      <w:r>
        <w:rPr>
          <w:b/>
          <w:bCs/>
          <w:color w:val="1A1A2E"/>
          <w:sz w:val="21"/>
          <w:szCs w:val="21"/>
        </w:rPr>
        <w:t xml:space="preserve">agentic recommendation engine</w:t>
      </w:r>
      <w:r>
        <w:rPr>
          <w:color w:val="1A1A2E"/>
          <w:sz w:val="21"/>
          <w:szCs w:val="21"/>
        </w:rPr>
        <w:t xml:space="preserve"> to produce personalized, persuasive recommendations grounded in the real catalog. It is explicitly </w:t>
      </w:r>
      <w:r>
        <w:rPr>
          <w:b/>
          <w:bCs/>
          <w:color w:val="1A1A2E"/>
          <w:sz w:val="21"/>
          <w:szCs w:val="21"/>
        </w:rPr>
        <w:t xml:space="preserve">not</w:t>
      </w:r>
      <w:r>
        <w:rPr>
          <w:color w:val="1A1A2E"/>
          <w:sz w:val="21"/>
          <w:szCs w:val="21"/>
        </w:rPr>
        <w:t xml:space="preserve"> a static “related products” widget. A backend agent continuously accumulates a user’s behavioral signals, reasons over them, retrieves the most relevant products from a vector database using semantic search (RAG), and generates a short convincing narrative plus the specific recommended courses. Recommendations are stored, displayed, and refreshed as behavior evolves, and can optionally be delivered proactively as a scheduled digest.</w:t>
      </w:r>
    </w:p>
    <w:p>
      <w:pPr>
        <w:pStyle w:val="Heading2"/>
        <w:spacing w:after="100" w:before="220"/>
      </w:pPr>
      <w:r>
        <w:rPr>
          <w:b/>
          <w:bCs/>
          <w:color w:val="1A1A2E"/>
          <w:sz w:val="25"/>
          <w:szCs w:val="25"/>
        </w:rPr>
        <w:t xml:space="preserve">1.3  Scope</w:t>
      </w:r>
    </w:p>
    <w:p>
      <w:pPr>
        <w:spacing w:after="120" w:line="276"/>
        <w:jc w:val="both"/>
      </w:pPr>
      <w:r>
        <w:rPr>
          <w:b/>
          <w:bCs/>
          <w:color w:val="1A1A2E"/>
          <w:sz w:val="21"/>
          <w:szCs w:val="21"/>
        </w:rPr>
        <w:t xml:space="preserve">In scope: </w:t>
      </w:r>
      <w:r>
        <w:rPr>
          <w:color w:val="1A1A2E"/>
          <w:sz w:val="21"/>
          <w:szCs w:val="21"/>
        </w:rPr>
        <w:t xml:space="preserve">A working web platform with simple email/password authentication and two roles (regular user and admin); admin product management with dual-write to both the relational database and the vector database, kept in sync; efficient, non-blocking behavioral event tracking; an agentic RAG recommendation engine routed entirely through Mesh API; storage and display of refreshable recommendations; and production-minded triggering and caching of AI calls.</w:t>
      </w:r>
    </w:p>
    <w:p>
      <w:pPr>
        <w:spacing w:after="120" w:line="276"/>
        <w:jc w:val="both"/>
      </w:pPr>
      <w:r>
        <w:rPr>
          <w:b/>
          <w:bCs/>
          <w:color w:val="1A1A2E"/>
          <w:sz w:val="21"/>
          <w:szCs w:val="21"/>
        </w:rPr>
        <w:t xml:space="preserve">Bonus scope (committed): </w:t>
      </w:r>
      <w:r>
        <w:rPr>
          <w:color w:val="1A1A2E"/>
          <w:sz w:val="21"/>
          <w:szCs w:val="21"/>
        </w:rPr>
        <w:t xml:space="preserve">A structured LangGraph agent workflow; scheduled proactive email digests via APScheduler; end-to-end observability via LangSmith; and retrieval polish through metadata filtering.</w:t>
      </w:r>
    </w:p>
    <w:p>
      <w:pPr>
        <w:spacing w:after="120" w:line="276"/>
        <w:jc w:val="both"/>
      </w:pPr>
      <w:r>
        <w:rPr>
          <w:b/>
          <w:bCs/>
          <w:color w:val="1A1A2E"/>
          <w:sz w:val="21"/>
          <w:szCs w:val="21"/>
        </w:rPr>
        <w:t xml:space="preserve">Out of scope: </w:t>
      </w:r>
      <w:r>
        <w:rPr>
          <w:color w:val="1A1A2E"/>
          <w:sz w:val="21"/>
          <w:szCs w:val="21"/>
        </w:rPr>
        <w:t xml:space="preserve">Payment processing, real course content delivery/streaming, multi-tenant organizations, mobile-native apps, and social features. These are intentionally excluded to keep a solo, time-boxed build focused on the judged criteria.</w:t>
      </w:r>
    </w:p>
    <w:p>
      <w:pPr>
        <w:pStyle w:val="Heading2"/>
        <w:spacing w:after="100" w:before="220"/>
      </w:pPr>
      <w:r>
        <w:rPr>
          <w:b/>
          <w:bCs/>
          <w:color w:val="1A1A2E"/>
          <w:sz w:val="25"/>
          <w:szCs w:val="25"/>
        </w:rPr>
        <w:t xml:space="preserve">1.4  Definitions, Acronyms, and Abbreviations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400"/>
        <w:gridCol w:w="6960"/>
      </w:tblGrid>
      <w:tr>
        <w:trPr>
          <w:tblHeader/>
        </w:trPr>
        <w:tc>
          <w:tcPr>
            <w:tcW w:type="dxa" w:w="2400"/>
            <w:shd w:fill="0F4C81" w:val="clear"/>
            <w:tcMar>
              <w:top w:type="dxa" w:w="80"/>
              <w:left w:type="dxa" w:w="110"/>
              <w:bottom w:type="dxa" w:w="80"/>
              <w:right w:type="dxa" w:w="110"/>
            </w:tcMar>
          </w:tcPr>
          <w:p>
            <w:r>
              <w:rPr>
                <w:b/>
                <w:bCs/>
                <w:color w:val="FFFFFF"/>
                <w:sz w:val="19"/>
                <w:szCs w:val="19"/>
              </w:rPr>
              <w:t xml:space="preserve">Term</w:t>
            </w:r>
          </w:p>
        </w:tc>
        <w:tc>
          <w:tcPr>
            <w:tcW w:type="dxa" w:w="6960"/>
            <w:shd w:fill="0F4C81" w:val="clear"/>
            <w:tcMar>
              <w:top w:type="dxa" w:w="80"/>
              <w:left w:type="dxa" w:w="110"/>
              <w:bottom w:type="dxa" w:w="80"/>
              <w:right w:type="dxa" w:w="110"/>
            </w:tcMar>
          </w:tcPr>
          <w:p>
            <w:r>
              <w:rPr>
                <w:b/>
                <w:bCs/>
                <w:color w:val="FFFFFF"/>
                <w:sz w:val="19"/>
                <w:szCs w:val="19"/>
              </w:rPr>
              <w:t xml:space="preserve">Meaning</w:t>
            </w:r>
          </w:p>
        </w:tc>
      </w:tr>
      <w:tr>
        <w:tc>
          <w:tcPr>
            <w:tcW w:type="dxa" w:w="2400"/>
            <w:shd w:fill="FFFFFF" w:val="clear"/>
            <w:tcMar>
              <w:top w:type="dxa" w:w="70"/>
              <w:left w:type="dxa" w:w="110"/>
              <w:bottom w:type="dxa" w:w="70"/>
              <w:right w:type="dxa" w:w="110"/>
            </w:tcMar>
          </w:tcPr>
          <w:p>
            <w:pPr>
              <w:spacing w:after="20"/>
            </w:pPr>
            <w:r>
              <w:rPr>
                <w:color w:val="1A1A2E"/>
                <w:sz w:val="18"/>
                <w:szCs w:val="18"/>
              </w:rPr>
              <w:t xml:space="preserve">Agent</w:t>
            </w:r>
          </w:p>
        </w:tc>
        <w:tc>
          <w:tcPr>
            <w:tcW w:type="dxa" w:w="6960"/>
            <w:shd w:fill="FFFFFF" w:val="clear"/>
            <w:tcMar>
              <w:top w:type="dxa" w:w="70"/>
              <w:left w:type="dxa" w:w="110"/>
              <w:bottom w:type="dxa" w:w="70"/>
              <w:right w:type="dxa" w:w="110"/>
            </w:tcMar>
          </w:tcPr>
          <w:p>
            <w:pPr>
              <w:spacing w:after="20"/>
            </w:pPr>
            <w:r>
              <w:rPr>
                <w:color w:val="1A1A2E"/>
                <w:sz w:val="18"/>
                <w:szCs w:val="18"/>
              </w:rPr>
              <w:t xml:space="preserve">A backend process that reasons over user behavior and orchestrates retrieval + generation to produce a recommendation.</w:t>
            </w:r>
          </w:p>
        </w:tc>
      </w:tr>
      <w:tr>
        <w:tc>
          <w:tcPr>
            <w:tcW w:type="dxa" w:w="2400"/>
            <w:shd w:fill="F4F7FA" w:val="clear"/>
            <w:tcMar>
              <w:top w:type="dxa" w:w="70"/>
              <w:left w:type="dxa" w:w="110"/>
              <w:bottom w:type="dxa" w:w="70"/>
              <w:right w:type="dxa" w:w="110"/>
            </w:tcMar>
          </w:tcPr>
          <w:p>
            <w:pPr>
              <w:spacing w:after="20"/>
            </w:pPr>
            <w:r>
              <w:rPr>
                <w:color w:val="1A1A2E"/>
                <w:sz w:val="18"/>
                <w:szCs w:val="18"/>
              </w:rPr>
              <w:t xml:space="preserve">RAG</w:t>
            </w:r>
          </w:p>
        </w:tc>
        <w:tc>
          <w:tcPr>
            <w:tcW w:type="dxa" w:w="6960"/>
            <w:shd w:fill="F4F7FA" w:val="clear"/>
            <w:tcMar>
              <w:top w:type="dxa" w:w="70"/>
              <w:left w:type="dxa" w:w="110"/>
              <w:bottom w:type="dxa" w:w="70"/>
              <w:right w:type="dxa" w:w="110"/>
            </w:tcMar>
          </w:tcPr>
          <w:p>
            <w:pPr>
              <w:spacing w:after="20"/>
            </w:pPr>
            <w:r>
              <w:rPr>
                <w:color w:val="1A1A2E"/>
                <w:sz w:val="18"/>
                <w:szCs w:val="18"/>
              </w:rPr>
              <w:t xml:space="preserve">Retrieval-Augmented Generation — grounding an LLM’s output in documents retrieved from a knowledge base.</w:t>
            </w:r>
          </w:p>
        </w:tc>
      </w:tr>
      <w:tr>
        <w:tc>
          <w:tcPr>
            <w:tcW w:type="dxa" w:w="2400"/>
            <w:shd w:fill="FFFFFF" w:val="clear"/>
            <w:tcMar>
              <w:top w:type="dxa" w:w="70"/>
              <w:left w:type="dxa" w:w="110"/>
              <w:bottom w:type="dxa" w:w="70"/>
              <w:right w:type="dxa" w:w="110"/>
            </w:tcMar>
          </w:tcPr>
          <w:p>
            <w:pPr>
              <w:spacing w:after="20"/>
            </w:pPr>
            <w:r>
              <w:rPr>
                <w:color w:val="1A1A2E"/>
                <w:sz w:val="18"/>
                <w:szCs w:val="18"/>
              </w:rPr>
              <w:t xml:space="preserve">Dual-write</w:t>
            </w:r>
          </w:p>
        </w:tc>
        <w:tc>
          <w:tcPr>
            <w:tcW w:type="dxa" w:w="6960"/>
            <w:shd w:fill="FFFFFF" w:val="clear"/>
            <w:tcMar>
              <w:top w:type="dxa" w:w="70"/>
              <w:left w:type="dxa" w:w="110"/>
              <w:bottom w:type="dxa" w:w="70"/>
              <w:right w:type="dxa" w:w="110"/>
            </w:tcMar>
          </w:tcPr>
          <w:p>
            <w:pPr>
              <w:spacing w:after="20"/>
            </w:pPr>
            <w:r>
              <w:rPr>
                <w:color w:val="1A1A2E"/>
                <w:sz w:val="18"/>
                <w:szCs w:val="18"/>
              </w:rPr>
              <w:t xml:space="preserve">Writing a product to both the relational DB and the vector DB in one operation so the two stores stay in sync.</w:t>
            </w:r>
          </w:p>
        </w:tc>
      </w:tr>
      <w:tr>
        <w:tc>
          <w:tcPr>
            <w:tcW w:type="dxa" w:w="2400"/>
            <w:shd w:fill="F4F7FA" w:val="clear"/>
            <w:tcMar>
              <w:top w:type="dxa" w:w="70"/>
              <w:left w:type="dxa" w:w="110"/>
              <w:bottom w:type="dxa" w:w="70"/>
              <w:right w:type="dxa" w:w="110"/>
            </w:tcMar>
          </w:tcPr>
          <w:p>
            <w:pPr>
              <w:spacing w:after="20"/>
            </w:pPr>
            <w:r>
              <w:rPr>
                <w:color w:val="1A1A2E"/>
                <w:sz w:val="18"/>
                <w:szCs w:val="18"/>
              </w:rPr>
              <w:t xml:space="preserve">Event</w:t>
            </w:r>
          </w:p>
        </w:tc>
        <w:tc>
          <w:tcPr>
            <w:tcW w:type="dxa" w:w="6960"/>
            <w:shd w:fill="F4F7FA" w:val="clear"/>
            <w:tcMar>
              <w:top w:type="dxa" w:w="70"/>
              <w:left w:type="dxa" w:w="110"/>
              <w:bottom w:type="dxa" w:w="70"/>
              <w:right w:type="dxa" w:w="110"/>
            </w:tcMar>
          </w:tcPr>
          <w:p>
            <w:pPr>
              <w:spacing w:after="20"/>
            </w:pPr>
            <w:r>
              <w:rPr>
                <w:color w:val="1A1A2E"/>
                <w:sz w:val="18"/>
                <w:szCs w:val="18"/>
              </w:rPr>
              <w:t xml:space="preserve">A tracked, meaningful user action (view, search, click, dwell) with who/what/when metadata.</w:t>
            </w:r>
          </w:p>
        </w:tc>
      </w:tr>
      <w:tr>
        <w:tc>
          <w:tcPr>
            <w:tcW w:type="dxa" w:w="2400"/>
            <w:shd w:fill="FFFFFF" w:val="clear"/>
            <w:tcMar>
              <w:top w:type="dxa" w:w="70"/>
              <w:left w:type="dxa" w:w="110"/>
              <w:bottom w:type="dxa" w:w="70"/>
              <w:right w:type="dxa" w:w="110"/>
            </w:tcMar>
          </w:tcPr>
          <w:p>
            <w:pPr>
              <w:spacing w:after="20"/>
            </w:pPr>
            <w:r>
              <w:rPr>
                <w:color w:val="1A1A2E"/>
                <w:sz w:val="18"/>
                <w:szCs w:val="18"/>
              </w:rPr>
              <w:t xml:space="preserve">Embedding</w:t>
            </w:r>
          </w:p>
        </w:tc>
        <w:tc>
          <w:tcPr>
            <w:tcW w:type="dxa" w:w="6960"/>
            <w:shd w:fill="FFFFFF" w:val="clear"/>
            <w:tcMar>
              <w:top w:type="dxa" w:w="70"/>
              <w:left w:type="dxa" w:w="110"/>
              <w:bottom w:type="dxa" w:w="70"/>
              <w:right w:type="dxa" w:w="110"/>
            </w:tcMar>
          </w:tcPr>
          <w:p>
            <w:pPr>
              <w:spacing w:after="20"/>
            </w:pPr>
            <w:r>
              <w:rPr>
                <w:color w:val="1A1A2E"/>
                <w:sz w:val="18"/>
                <w:szCs w:val="18"/>
              </w:rPr>
              <w:t xml:space="preserve">A dense numeric vector representing text meaning, used for semantic similarity search.</w:t>
            </w:r>
          </w:p>
        </w:tc>
      </w:tr>
      <w:tr>
        <w:tc>
          <w:tcPr>
            <w:tcW w:type="dxa" w:w="2400"/>
            <w:shd w:fill="F4F7FA" w:val="clear"/>
            <w:tcMar>
              <w:top w:type="dxa" w:w="70"/>
              <w:left w:type="dxa" w:w="110"/>
              <w:bottom w:type="dxa" w:w="70"/>
              <w:right w:type="dxa" w:w="110"/>
            </w:tcMar>
          </w:tcPr>
          <w:p>
            <w:pPr>
              <w:spacing w:after="20"/>
            </w:pPr>
            <w:r>
              <w:rPr>
                <w:color w:val="1A1A2E"/>
                <w:sz w:val="18"/>
                <w:szCs w:val="18"/>
              </w:rPr>
              <w:t xml:space="preserve">Mesh API</w:t>
            </w:r>
          </w:p>
        </w:tc>
        <w:tc>
          <w:tcPr>
            <w:tcW w:type="dxa" w:w="6960"/>
            <w:shd w:fill="F4F7FA" w:val="clear"/>
            <w:tcMar>
              <w:top w:type="dxa" w:w="70"/>
              <w:left w:type="dxa" w:w="110"/>
              <w:bottom w:type="dxa" w:w="70"/>
              <w:right w:type="dxa" w:w="110"/>
            </w:tcMar>
          </w:tcPr>
          <w:p>
            <w:pPr>
              <w:spacing w:after="20"/>
            </w:pPr>
            <w:r>
              <w:rPr>
                <w:color w:val="1A1A2E"/>
                <w:sz w:val="18"/>
                <w:szCs w:val="18"/>
              </w:rPr>
              <w:t xml:space="preserve">The mandatory OpenAI-compatible LLM gateway through which every AI call must be routed.</w:t>
            </w:r>
          </w:p>
        </w:tc>
      </w:tr>
      <w:tr>
        <w:tc>
          <w:tcPr>
            <w:tcW w:type="dxa" w:w="2400"/>
            <w:shd w:fill="FFFFFF" w:val="clear"/>
            <w:tcMar>
              <w:top w:type="dxa" w:w="70"/>
              <w:left w:type="dxa" w:w="110"/>
              <w:bottom w:type="dxa" w:w="70"/>
              <w:right w:type="dxa" w:w="110"/>
            </w:tcMar>
          </w:tcPr>
          <w:p>
            <w:pPr>
              <w:spacing w:after="20"/>
            </w:pPr>
            <w:r>
              <w:rPr>
                <w:color w:val="1A1A2E"/>
                <w:sz w:val="18"/>
                <w:szCs w:val="18"/>
              </w:rPr>
              <w:t xml:space="preserve">Trigger</w:t>
            </w:r>
          </w:p>
        </w:tc>
        <w:tc>
          <w:tcPr>
            <w:tcW w:type="dxa" w:w="6960"/>
            <w:shd w:fill="FFFFFF" w:val="clear"/>
            <w:tcMar>
              <w:top w:type="dxa" w:w="70"/>
              <w:left w:type="dxa" w:w="110"/>
              <w:bottom w:type="dxa" w:w="70"/>
              <w:right w:type="dxa" w:w="110"/>
            </w:tcMar>
          </w:tcPr>
          <w:p>
            <w:pPr>
              <w:spacing w:after="20"/>
            </w:pPr>
            <w:r>
              <w:rPr>
                <w:color w:val="1A1A2E"/>
                <w:sz w:val="18"/>
                <w:szCs w:val="18"/>
              </w:rPr>
              <w:t xml:space="preserve">A condition (event-count threshold or manual refresh) that decides when to (re)generate recommendations.</w:t>
            </w:r>
          </w:p>
        </w:tc>
      </w:tr>
      <w:tr>
        <w:tc>
          <w:tcPr>
            <w:tcW w:type="dxa" w:w="2400"/>
            <w:shd w:fill="F4F7FA" w:val="clear"/>
            <w:tcMar>
              <w:top w:type="dxa" w:w="70"/>
              <w:left w:type="dxa" w:w="110"/>
              <w:bottom w:type="dxa" w:w="70"/>
              <w:right w:type="dxa" w:w="110"/>
            </w:tcMar>
          </w:tcPr>
          <w:p>
            <w:pPr>
              <w:spacing w:after="20"/>
            </w:pPr>
            <w:r>
              <w:rPr>
                <w:color w:val="1A1A2E"/>
                <w:sz w:val="18"/>
                <w:szCs w:val="18"/>
              </w:rPr>
              <w:t xml:space="preserve">Vector DB</w:t>
            </w:r>
          </w:p>
        </w:tc>
        <w:tc>
          <w:tcPr>
            <w:tcW w:type="dxa" w:w="6960"/>
            <w:shd w:fill="F4F7FA" w:val="clear"/>
            <w:tcMar>
              <w:top w:type="dxa" w:w="70"/>
              <w:left w:type="dxa" w:w="110"/>
              <w:bottom w:type="dxa" w:w="70"/>
              <w:right w:type="dxa" w:w="110"/>
            </w:tcMar>
          </w:tcPr>
          <w:p>
            <w:pPr>
              <w:spacing w:after="20"/>
            </w:pPr>
            <w:r>
              <w:rPr>
                <w:color w:val="1A1A2E"/>
                <w:sz w:val="18"/>
                <w:szCs w:val="18"/>
              </w:rPr>
              <w:t xml:space="preserve">Qdrant — stores product embeddings and answers nearest-neighbor semantic queries.</w:t>
            </w:r>
          </w:p>
        </w:tc>
      </w:tr>
    </w:tbl>
    <w:p>
      <w:pPr>
        <w:pStyle w:val="Heading2"/>
        <w:spacing w:after="100" w:before="220"/>
      </w:pPr>
      <w:r>
        <w:rPr>
          <w:b/>
          <w:bCs/>
          <w:color w:val="1A1A2E"/>
          <w:sz w:val="25"/>
          <w:szCs w:val="25"/>
        </w:rPr>
        <w:t xml:space="preserve">1.5  References</w:t>
      </w:r>
    </w:p>
    <w:p>
      <w:pPr>
        <w:pStyle w:val="ListParagraph"/>
        <w:numPr>
          <w:ilvl w:val="0"/>
          <w:numId w:val="2"/>
        </w:numPr>
        <w:spacing w:after="70" w:line="264"/>
      </w:pPr>
      <w:r>
        <w:rPr>
          <w:b/>
          <w:bCs/>
          <w:color w:val="1A1A2E"/>
          <w:sz w:val="21"/>
          <w:szCs w:val="21"/>
        </w:rPr>
        <w:t xml:space="preserve">Hackathon brief: </w:t>
      </w:r>
      <w:r>
        <w:rPr>
          <w:color w:val="1A1A2E"/>
          <w:sz w:val="21"/>
          <w:szCs w:val="21"/>
        </w:rPr>
        <w:t xml:space="preserve">SmartReco Build Challenge 2026 problem statement and rules (career.krishnaik.in).</w:t>
      </w:r>
    </w:p>
    <w:p>
      <w:pPr>
        <w:pStyle w:val="ListParagraph"/>
        <w:numPr>
          <w:ilvl w:val="0"/>
          <w:numId w:val="2"/>
        </w:numPr>
        <w:spacing w:after="70" w:line="264"/>
      </w:pPr>
      <w:r>
        <w:rPr>
          <w:b/>
          <w:bCs/>
          <w:color w:val="1A1A2E"/>
          <w:sz w:val="21"/>
          <w:szCs w:val="21"/>
        </w:rPr>
        <w:t xml:space="preserve">Mesh API documentation: </w:t>
      </w:r>
      <w:hyperlink w:history="1" r:id="rIdcycos6ruf_iuuxalxmovl">
        <w:r>
          <w:rPr>
            <w:rStyle w:val="Hyperlink"/>
            <w:sz w:val="21"/>
            <w:szCs w:val="21"/>
          </w:rPr>
          <w:t xml:space="preserve">developers.meshapi.ai</w:t>
        </w:r>
      </w:hyperlink>
    </w:p>
    <w:p>
      <w:pPr>
        <w:pStyle w:val="ListParagraph"/>
        <w:numPr>
          <w:ilvl w:val="0"/>
          <w:numId w:val="2"/>
        </w:numPr>
        <w:spacing w:after="70" w:line="264"/>
      </w:pPr>
      <w:r>
        <w:rPr>
          <w:b/>
          <w:bCs/>
          <w:color w:val="1A1A2E"/>
          <w:sz w:val="21"/>
          <w:szCs w:val="21"/>
        </w:rPr>
        <w:t xml:space="preserve">Qdrant, FastAPI, SQLAlchemy, LangGraph, APScheduler, LangSmith </w:t>
      </w:r>
      <w:r>
        <w:rPr>
          <w:color w:val="1A1A2E"/>
          <w:sz w:val="21"/>
          <w:szCs w:val="21"/>
        </w:rPr>
        <w:t xml:space="preserve">official documentation.</w:t>
      </w:r>
    </w:p>
    <w:p>
      <w:r>
        <w:br w:type="page"/>
      </w:r>
    </w:p>
    <w:p>
      <w:pPr>
        <w:pStyle w:val="Heading1"/>
        <w:spacing w:after="140" w:before="320"/>
      </w:pPr>
      <w:r>
        <w:rPr>
          <w:b/>
          <w:bCs/>
          <w:color w:val="0F4C81"/>
          <w:sz w:val="30"/>
          <w:szCs w:val="30"/>
        </w:rPr>
        <w:t xml:space="preserve">2.  Overall Description</w:t>
      </w:r>
    </w:p>
    <w:p>
      <w:pPr>
        <w:pStyle w:val="Heading2"/>
        <w:spacing w:after="100" w:before="220"/>
      </w:pPr>
      <w:r>
        <w:rPr>
          <w:b/>
          <w:bCs/>
          <w:color w:val="1A1A2E"/>
          <w:sz w:val="25"/>
          <w:szCs w:val="25"/>
        </w:rPr>
        <w:t xml:space="preserve">2.1  Product Perspective</w:t>
      </w:r>
    </w:p>
    <w:p>
      <w:pPr>
        <w:spacing w:after="120" w:line="276"/>
        <w:jc w:val="both"/>
      </w:pPr>
      <w:r>
        <w:rPr>
          <w:color w:val="1A1A2E"/>
          <w:sz w:val="21"/>
          <w:szCs w:val="21"/>
        </w:rPr>
        <w:t xml:space="preserve">SmartReco is a self-contained, monolithic web application. A single FastAPI backend serves server-rendered Jinja2 pages, exposes JSON endpoints for behavioral tracking and recommendations, owns the relational database, and coordinates with an external Qdrant vector database and the external Mesh API gateway. This monolith-first shape is deliberate: for a solo, time-boxed build that is judged primarily by reading the repository, fewer moving parts means faster delivery, a cleaner “clone and run” experience for reviewers, and fewer ways for a live demo to break.</w:t>
      </w:r>
    </w:p>
    <w:p>
      <w:pPr>
        <w:pStyle w:val="Heading2"/>
        <w:spacing w:after="100" w:before="220"/>
      </w:pPr>
      <w:r>
        <w:rPr>
          <w:b/>
          <w:bCs/>
          <w:color w:val="1A1A2E"/>
          <w:sz w:val="25"/>
          <w:szCs w:val="25"/>
        </w:rPr>
        <w:t xml:space="preserve">2.2  User Roles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100"/>
        <w:gridCol w:w="7260"/>
      </w:tblGrid>
      <w:tr>
        <w:trPr>
          <w:tblHeader/>
        </w:trPr>
        <w:tc>
          <w:tcPr>
            <w:tcW w:type="dxa" w:w="2100"/>
            <w:shd w:fill="0F4C81" w:val="clear"/>
            <w:tcMar>
              <w:top w:type="dxa" w:w="80"/>
              <w:left w:type="dxa" w:w="110"/>
              <w:bottom w:type="dxa" w:w="80"/>
              <w:right w:type="dxa" w:w="110"/>
            </w:tcMar>
          </w:tcPr>
          <w:p>
            <w:r>
              <w:rPr>
                <w:b/>
                <w:bCs/>
                <w:color w:val="FFFFFF"/>
                <w:sz w:val="19"/>
                <w:szCs w:val="19"/>
              </w:rPr>
              <w:t xml:space="preserve">Role</w:t>
            </w:r>
          </w:p>
        </w:tc>
        <w:tc>
          <w:tcPr>
            <w:tcW w:type="dxa" w:w="7260"/>
            <w:shd w:fill="0F4C81" w:val="clear"/>
            <w:tcMar>
              <w:top w:type="dxa" w:w="80"/>
              <w:left w:type="dxa" w:w="110"/>
              <w:bottom w:type="dxa" w:w="80"/>
              <w:right w:type="dxa" w:w="110"/>
            </w:tcMar>
          </w:tcPr>
          <w:p>
            <w:r>
              <w:rPr>
                <w:b/>
                <w:bCs/>
                <w:color w:val="FFFFFF"/>
                <w:sz w:val="19"/>
                <w:szCs w:val="19"/>
              </w:rPr>
              <w:t xml:space="preserve">Capabilities</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Regular User</w:t>
            </w:r>
          </w:p>
        </w:tc>
        <w:tc>
          <w:tcPr>
            <w:tcW w:type="dxa" w:w="7260"/>
            <w:shd w:fill="FFFFFF" w:val="clear"/>
            <w:tcMar>
              <w:top w:type="dxa" w:w="70"/>
              <w:left w:type="dxa" w:w="110"/>
              <w:bottom w:type="dxa" w:w="70"/>
              <w:right w:type="dxa" w:w="110"/>
            </w:tcMar>
          </w:tcPr>
          <w:p>
            <w:pPr>
              <w:spacing w:after="20"/>
            </w:pPr>
            <w:r>
              <w:rPr>
                <w:color w:val="1A1A2E"/>
                <w:sz w:val="18"/>
                <w:szCs w:val="18"/>
              </w:rPr>
              <w:t xml:space="preserve">Registers / logs in with email + password.</w:t>
            </w:r>
          </w:p>
          <w:p>
            <w:pPr>
              <w:spacing w:after="20"/>
            </w:pPr>
            <w:r>
              <w:rPr>
                <w:color w:val="1A1A2E"/>
                <w:sz w:val="18"/>
                <w:szCs w:val="18"/>
              </w:rPr>
              <w:t xml:space="preserve">Browses and searches the course catalog; views product detail pages.</w:t>
            </w:r>
          </w:p>
          <w:p>
            <w:pPr>
              <w:spacing w:after="20"/>
            </w:pPr>
            <w:r>
              <w:rPr>
                <w:color w:val="1A1A2E"/>
                <w:sz w:val="18"/>
                <w:szCs w:val="18"/>
              </w:rPr>
              <w:t xml:space="preserve">Generates behavioral events implicitly through activity.</w:t>
            </w:r>
          </w:p>
          <w:p>
            <w:pPr>
              <w:spacing w:after="20"/>
            </w:pPr>
            <w:r>
              <w:rPr>
                <w:color w:val="1A1A2E"/>
                <w:sz w:val="18"/>
                <w:szCs w:val="18"/>
              </w:rPr>
              <w:t xml:space="preserve">Receives and views personalized, persuasive recommendations that refresh as behavior changes.</w:t>
            </w:r>
          </w:p>
          <w:p>
            <w:pPr>
              <w:spacing w:after="20"/>
            </w:pPr>
            <w:r>
              <w:rPr>
                <w:color w:val="1A1A2E"/>
                <w:sz w:val="18"/>
                <w:szCs w:val="18"/>
              </w:rPr>
              <w:t xml:space="preserve">Optionally receives a scheduled email digest.</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Admin</w:t>
            </w:r>
          </w:p>
        </w:tc>
        <w:tc>
          <w:tcPr>
            <w:tcW w:type="dxa" w:w="7260"/>
            <w:shd w:fill="F4F7FA" w:val="clear"/>
            <w:tcMar>
              <w:top w:type="dxa" w:w="70"/>
              <w:left w:type="dxa" w:w="110"/>
              <w:bottom w:type="dxa" w:w="70"/>
              <w:right w:type="dxa" w:w="110"/>
            </w:tcMar>
          </w:tcPr>
          <w:p>
            <w:pPr>
              <w:spacing w:after="20"/>
            </w:pPr>
            <w:r>
              <w:rPr>
                <w:color w:val="1A1A2E"/>
                <w:sz w:val="18"/>
                <w:szCs w:val="18"/>
              </w:rPr>
              <w:t xml:space="preserve">Logs in with elevated privileges.</w:t>
            </w:r>
          </w:p>
          <w:p>
            <w:pPr>
              <w:spacing w:after="20"/>
            </w:pPr>
            <w:r>
              <w:rPr>
                <w:color w:val="1A1A2E"/>
                <w:sz w:val="18"/>
                <w:szCs w:val="18"/>
              </w:rPr>
              <w:t xml:space="preserve">Creates, edits, and deletes products/courses.</w:t>
            </w:r>
          </w:p>
          <w:p>
            <w:pPr>
              <w:spacing w:after="20"/>
            </w:pPr>
            <w:r>
              <w:rPr>
                <w:color w:val="1A1A2E"/>
                <w:sz w:val="18"/>
                <w:szCs w:val="18"/>
              </w:rPr>
              <w:t xml:space="preserve">Every product mutation dual-writes to both the relational DB and Qdrant, keeping them in sync.</w:t>
            </w:r>
          </w:p>
          <w:p>
            <w:pPr>
              <w:spacing w:after="20"/>
            </w:pPr>
            <w:r>
              <w:rPr>
                <w:color w:val="1A1A2E"/>
                <w:sz w:val="18"/>
                <w:szCs w:val="18"/>
              </w:rPr>
              <w:t xml:space="preserve">(Implicitly) seeds and curates the catalog that grounds all recommendations.</w:t>
            </w:r>
          </w:p>
        </w:tc>
      </w:tr>
    </w:tbl>
    <w:p>
      <w:pPr>
        <w:pStyle w:val="Heading2"/>
        <w:spacing w:after="100" w:before="220"/>
      </w:pPr>
      <w:r>
        <w:rPr>
          <w:b/>
          <w:bCs/>
          <w:color w:val="1A1A2E"/>
          <w:sz w:val="25"/>
          <w:szCs w:val="25"/>
        </w:rPr>
        <w:t xml:space="preserve">2.3  Operating Environment</w:t>
      </w:r>
    </w:p>
    <w:p>
      <w:pPr>
        <w:pStyle w:val="ListParagraph"/>
        <w:numPr>
          <w:ilvl w:val="0"/>
          <w:numId w:val="2"/>
        </w:numPr>
        <w:spacing w:after="70" w:line="264"/>
      </w:pPr>
      <w:r>
        <w:rPr>
          <w:b/>
          <w:bCs/>
          <w:color w:val="1A1A2E"/>
          <w:sz w:val="21"/>
          <w:szCs w:val="21"/>
        </w:rPr>
        <w:t xml:space="preserve">Runtime: </w:t>
      </w:r>
      <w:r>
        <w:rPr>
          <w:color w:val="1A1A2E"/>
          <w:sz w:val="21"/>
          <w:szCs w:val="21"/>
        </w:rPr>
        <w:t xml:space="preserve">Python 3.11+, managed with the uv package manager.</w:t>
      </w:r>
    </w:p>
    <w:p>
      <w:pPr>
        <w:pStyle w:val="ListParagraph"/>
        <w:numPr>
          <w:ilvl w:val="0"/>
          <w:numId w:val="2"/>
        </w:numPr>
        <w:spacing w:after="70" w:line="264"/>
      </w:pPr>
      <w:r>
        <w:rPr>
          <w:b/>
          <w:bCs/>
          <w:color w:val="1A1A2E"/>
          <w:sz w:val="21"/>
          <w:szCs w:val="21"/>
        </w:rPr>
        <w:t xml:space="preserve">Backend: </w:t>
      </w:r>
      <w:r>
        <w:rPr>
          <w:color w:val="1A1A2E"/>
          <w:sz w:val="21"/>
          <w:szCs w:val="21"/>
        </w:rPr>
        <w:t xml:space="preserve">FastAPI + Uvicorn, serving Jinja2 templates and JSON APIs.</w:t>
      </w:r>
    </w:p>
    <w:p>
      <w:pPr>
        <w:pStyle w:val="ListParagraph"/>
        <w:numPr>
          <w:ilvl w:val="0"/>
          <w:numId w:val="2"/>
        </w:numPr>
        <w:spacing w:after="70" w:line="264"/>
      </w:pPr>
      <w:r>
        <w:rPr>
          <w:b/>
          <w:bCs/>
          <w:color w:val="1A1A2E"/>
          <w:sz w:val="21"/>
          <w:szCs w:val="21"/>
        </w:rPr>
        <w:t xml:space="preserve">Relational DB: </w:t>
      </w:r>
      <w:r>
        <w:rPr>
          <w:color w:val="1A1A2E"/>
          <w:sz w:val="21"/>
          <w:szCs w:val="21"/>
        </w:rPr>
        <w:t xml:space="preserve">SQLite for development (zero-config, single file); Postgres-ready via SQLAlchemy and a single DATABASE_URL change.</w:t>
      </w:r>
    </w:p>
    <w:p>
      <w:pPr>
        <w:pStyle w:val="ListParagraph"/>
        <w:numPr>
          <w:ilvl w:val="0"/>
          <w:numId w:val="2"/>
        </w:numPr>
        <w:spacing w:after="70" w:line="264"/>
      </w:pPr>
      <w:r>
        <w:rPr>
          <w:b/>
          <w:bCs/>
          <w:color w:val="1A1A2E"/>
          <w:sz w:val="21"/>
          <w:szCs w:val="21"/>
        </w:rPr>
        <w:t xml:space="preserve">Vector DB: </w:t>
      </w:r>
      <w:r>
        <w:rPr>
          <w:color w:val="1A1A2E"/>
          <w:sz w:val="21"/>
          <w:szCs w:val="21"/>
        </w:rPr>
        <w:t xml:space="preserve">Qdrant, run locally via Docker for development; the same code targets Qdrant Cloud (free tier) for live deployment by changing only environment variables.</w:t>
      </w:r>
    </w:p>
    <w:p>
      <w:pPr>
        <w:pStyle w:val="ListParagraph"/>
        <w:numPr>
          <w:ilvl w:val="0"/>
          <w:numId w:val="2"/>
        </w:numPr>
        <w:spacing w:after="70" w:line="264"/>
      </w:pPr>
      <w:r>
        <w:rPr>
          <w:b/>
          <w:bCs/>
          <w:color w:val="1A1A2E"/>
          <w:sz w:val="21"/>
          <w:szCs w:val="21"/>
        </w:rPr>
        <w:t xml:space="preserve">LLM gateway: </w:t>
      </w:r>
      <w:r>
        <w:rPr>
          <w:color w:val="1A1A2E"/>
          <w:sz w:val="21"/>
          <w:szCs w:val="21"/>
        </w:rPr>
        <w:t xml:space="preserve">Mesh API, called via the OpenAI Python SDK pointed at the Mesh base URL. Mandatory for every AI call.</w:t>
      </w:r>
    </w:p>
    <w:p>
      <w:pPr>
        <w:pStyle w:val="ListParagraph"/>
        <w:numPr>
          <w:ilvl w:val="0"/>
          <w:numId w:val="2"/>
        </w:numPr>
        <w:spacing w:after="70" w:line="264"/>
      </w:pPr>
      <w:r>
        <w:rPr>
          <w:b/>
          <w:bCs/>
          <w:color w:val="1A1A2E"/>
          <w:sz w:val="21"/>
          <w:szCs w:val="21"/>
        </w:rPr>
        <w:t xml:space="preserve">Frontend: </w:t>
      </w:r>
      <w:r>
        <w:rPr>
          <w:color w:val="1A1A2E"/>
          <w:sz w:val="21"/>
          <w:szCs w:val="21"/>
        </w:rPr>
        <w:t xml:space="preserve">Server-rendered Jinja2 templates + vanilla JavaScript for non-blocking event tracking.</w:t>
      </w:r>
    </w:p>
    <w:p>
      <w:pPr>
        <w:pStyle w:val="Heading2"/>
        <w:spacing w:after="100" w:before="220"/>
      </w:pPr>
      <w:r>
        <w:rPr>
          <w:b/>
          <w:bCs/>
          <w:color w:val="1A1A2E"/>
          <w:sz w:val="25"/>
          <w:szCs w:val="25"/>
        </w:rPr>
        <w:t xml:space="preserve">2.4  Assumptions and Dependencies</w:t>
      </w:r>
    </w:p>
    <w:p>
      <w:pPr>
        <w:pStyle w:val="ListParagraph"/>
        <w:numPr>
          <w:ilvl w:val="0"/>
          <w:numId w:val="2"/>
        </w:numPr>
        <w:spacing w:after="70" w:line="264"/>
      </w:pPr>
      <w:r>
        <w:rPr>
          <w:color w:val="1A1A2E"/>
          <w:sz w:val="21"/>
          <w:szCs w:val="21"/>
        </w:rPr>
        <w:t xml:space="preserve">A valid Mesh API key (prefixed rsk_) is available and funded/enabled for chat and embedding models.</w:t>
      </w:r>
    </w:p>
    <w:p>
      <w:pPr>
        <w:pStyle w:val="ListParagraph"/>
        <w:numPr>
          <w:ilvl w:val="0"/>
          <w:numId w:val="2"/>
        </w:numPr>
        <w:spacing w:after="70" w:line="264"/>
      </w:pPr>
      <w:r>
        <w:rPr>
          <w:color w:val="1A1A2E"/>
          <w:sz w:val="21"/>
          <w:szCs w:val="21"/>
        </w:rPr>
        <w:t xml:space="preserve">A public GitHub repository hosts all code; the mandated CI workflow and repository secrets (MESH_API_KEY, SUBMISSION_TOKEN) are configured by the participant.</w:t>
      </w:r>
    </w:p>
    <w:p>
      <w:pPr>
        <w:pStyle w:val="ListParagraph"/>
        <w:numPr>
          <w:ilvl w:val="0"/>
          <w:numId w:val="2"/>
        </w:numPr>
        <w:spacing w:after="70" w:line="264"/>
      </w:pPr>
      <w:r>
        <w:rPr>
          <w:color w:val="1A1A2E"/>
          <w:sz w:val="21"/>
          <w:szCs w:val="21"/>
        </w:rPr>
        <w:t xml:space="preserve">A public course dataset seeds the catalog; the reference choice is a Kaggle online-courses dataset trimmed to a 1,000–2,000-product working set for this project (see Section 9).</w:t>
      </w:r>
    </w:p>
    <w:p>
      <w:pPr>
        <w:pStyle w:val="ListParagraph"/>
        <w:numPr>
          <w:ilvl w:val="0"/>
          <w:numId w:val="2"/>
        </w:numPr>
        <w:spacing w:after="70" w:line="264"/>
      </w:pPr>
      <w:r>
        <w:rPr>
          <w:color w:val="1A1A2E"/>
          <w:sz w:val="21"/>
          <w:szCs w:val="21"/>
        </w:rPr>
        <w:t xml:space="preserve">Docker is available in the development environment to run Qdrant locally.</w:t>
      </w:r>
    </w:p>
    <w:p>
      <w:r>
        <w:br w:type="page"/>
      </w:r>
    </w:p>
    <w:p>
      <w:pPr>
        <w:pStyle w:val="Heading1"/>
        <w:spacing w:after="140" w:before="320"/>
      </w:pPr>
      <w:r>
        <w:rPr>
          <w:b/>
          <w:bCs/>
          <w:color w:val="0F4C81"/>
          <w:sz w:val="30"/>
          <w:szCs w:val="30"/>
        </w:rPr>
        <w:t xml:space="preserve">3.  Mesh API Compliance (Mandatory)</w:t>
      </w:r>
    </w:p>
    <w:p>
      <w:pPr>
        <w:spacing w:after="120" w:line="276"/>
        <w:jc w:val="both"/>
      </w:pPr>
      <w:r>
        <w:rPr>
          <w:color w:val="1A1A2E"/>
          <w:sz w:val="21"/>
          <w:szCs w:val="21"/>
        </w:rPr>
        <w:t xml:space="preserve">Mesh API usage is the single make-or-break rule of this hackathon: </w:t>
      </w:r>
      <w:r>
        <w:rPr>
          <w:b/>
          <w:bCs/>
          <w:color w:val="1A1A2E"/>
          <w:sz w:val="21"/>
          <w:szCs w:val="21"/>
        </w:rPr>
        <w:t xml:space="preserve">a submission that does not route its LLM/AI calls through Mesh API is not a valid submission.</w:t>
      </w:r>
      <w:r>
        <w:rPr>
          <w:color w:val="1A1A2E"/>
          <w:sz w:val="21"/>
          <w:szCs w:val="21"/>
        </w:rPr>
        <w:t xml:space="preserve"> This section isolates that requirement so it can be verified at a glance. SmartReco makes exactly two kinds of AI calls, and </w:t>
      </w:r>
      <w:r>
        <w:rPr>
          <w:b/>
          <w:bCs/>
          <w:color w:val="1A1A2E"/>
          <w:sz w:val="21"/>
          <w:szCs w:val="21"/>
        </w:rPr>
        <w:t xml:space="preserve">both</w:t>
      </w:r>
      <w:r>
        <w:rPr>
          <w:color w:val="1A1A2E"/>
          <w:sz w:val="21"/>
          <w:szCs w:val="21"/>
        </w:rPr>
        <w:t xml:space="preserve"> go through Mesh API:</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1700"/>
        <w:gridCol w:w="5360"/>
        <w:gridCol w:w="2300"/>
      </w:tblGrid>
      <w:tr>
        <w:trPr>
          <w:tblHeader/>
        </w:trPr>
        <w:tc>
          <w:tcPr>
            <w:tcW w:type="dxa" w:w="1700"/>
            <w:shd w:fill="0F4C81" w:val="clear"/>
            <w:tcMar>
              <w:top w:type="dxa" w:w="80"/>
              <w:left w:type="dxa" w:w="110"/>
              <w:bottom w:type="dxa" w:w="80"/>
              <w:right w:type="dxa" w:w="110"/>
            </w:tcMar>
          </w:tcPr>
          <w:p>
            <w:r>
              <w:rPr>
                <w:b/>
                <w:bCs/>
                <w:color w:val="FFFFFF"/>
                <w:sz w:val="19"/>
                <w:szCs w:val="19"/>
              </w:rPr>
              <w:t xml:space="preserve">AI operation</w:t>
            </w:r>
          </w:p>
        </w:tc>
        <w:tc>
          <w:tcPr>
            <w:tcW w:type="dxa" w:w="5360"/>
            <w:shd w:fill="0F4C81" w:val="clear"/>
            <w:tcMar>
              <w:top w:type="dxa" w:w="80"/>
              <w:left w:type="dxa" w:w="110"/>
              <w:bottom w:type="dxa" w:w="80"/>
              <w:right w:type="dxa" w:w="110"/>
            </w:tcMar>
          </w:tcPr>
          <w:p>
            <w:r>
              <w:rPr>
                <w:b/>
                <w:bCs/>
                <w:color w:val="FFFFFF"/>
                <w:sz w:val="19"/>
                <w:szCs w:val="19"/>
              </w:rPr>
              <w:t xml:space="preserve">Purpose in SmartReco</w:t>
            </w:r>
          </w:p>
        </w:tc>
        <w:tc>
          <w:tcPr>
            <w:tcW w:type="dxa" w:w="2300"/>
            <w:shd w:fill="0F4C81" w:val="clear"/>
            <w:tcMar>
              <w:top w:type="dxa" w:w="80"/>
              <w:left w:type="dxa" w:w="110"/>
              <w:bottom w:type="dxa" w:w="80"/>
              <w:right w:type="dxa" w:w="110"/>
            </w:tcMar>
          </w:tcPr>
          <w:p>
            <w:r>
              <w:rPr>
                <w:b/>
                <w:bCs/>
                <w:color w:val="FFFFFF"/>
                <w:sz w:val="19"/>
                <w:szCs w:val="19"/>
              </w:rPr>
              <w:t xml:space="preserve">Mesh endpoint</w:t>
            </w:r>
          </w:p>
        </w:tc>
      </w:tr>
      <w:tr>
        <w:tc>
          <w:tcPr>
            <w:tcW w:type="dxa" w:w="1700"/>
            <w:shd w:fill="FFFFFF" w:val="clear"/>
            <w:tcMar>
              <w:top w:type="dxa" w:w="70"/>
              <w:left w:type="dxa" w:w="110"/>
              <w:bottom w:type="dxa" w:w="70"/>
              <w:right w:type="dxa" w:w="110"/>
            </w:tcMar>
          </w:tcPr>
          <w:p>
            <w:pPr>
              <w:spacing w:after="20"/>
            </w:pPr>
            <w:r>
              <w:rPr>
                <w:color w:val="1A1A2E"/>
                <w:sz w:val="18"/>
                <w:szCs w:val="18"/>
              </w:rPr>
              <w:t xml:space="preserve">Embeddings</w:t>
            </w:r>
          </w:p>
        </w:tc>
        <w:tc>
          <w:tcPr>
            <w:tcW w:type="dxa" w:w="5360"/>
            <w:shd w:fill="FFFFFF" w:val="clear"/>
            <w:tcMar>
              <w:top w:type="dxa" w:w="70"/>
              <w:left w:type="dxa" w:w="110"/>
              <w:bottom w:type="dxa" w:w="70"/>
              <w:right w:type="dxa" w:w="110"/>
            </w:tcMar>
          </w:tcPr>
          <w:p>
            <w:pPr>
              <w:spacing w:after="20"/>
            </w:pPr>
            <w:r>
              <w:rPr>
                <w:color w:val="1A1A2E"/>
                <w:sz w:val="18"/>
                <w:szCs w:val="18"/>
              </w:rPr>
              <w:t xml:space="preserve">Convert product text and behavioral query text into vectors for Qdrant semantic search.</w:t>
            </w:r>
          </w:p>
        </w:tc>
        <w:tc>
          <w:tcPr>
            <w:tcW w:type="dxa" w:w="2300"/>
            <w:shd w:fill="FFFFFF" w:val="clear"/>
            <w:tcMar>
              <w:top w:type="dxa" w:w="70"/>
              <w:left w:type="dxa" w:w="110"/>
              <w:bottom w:type="dxa" w:w="70"/>
              <w:right w:type="dxa" w:w="110"/>
            </w:tcMar>
          </w:tcPr>
          <w:p>
            <w:pPr>
              <w:spacing w:after="20"/>
            </w:pPr>
            <w:r>
              <w:rPr>
                <w:color w:val="1A1A2E"/>
                <w:sz w:val="18"/>
                <w:szCs w:val="18"/>
              </w:rPr>
              <w:t xml:space="preserve">POST /v1/embeddings</w:t>
            </w:r>
          </w:p>
        </w:tc>
      </w:tr>
      <w:tr>
        <w:tc>
          <w:tcPr>
            <w:tcW w:type="dxa" w:w="1700"/>
            <w:shd w:fill="F4F7FA" w:val="clear"/>
            <w:tcMar>
              <w:top w:type="dxa" w:w="70"/>
              <w:left w:type="dxa" w:w="110"/>
              <w:bottom w:type="dxa" w:w="70"/>
              <w:right w:type="dxa" w:w="110"/>
            </w:tcMar>
          </w:tcPr>
          <w:p>
            <w:pPr>
              <w:spacing w:after="20"/>
            </w:pPr>
            <w:r>
              <w:rPr>
                <w:color w:val="1A1A2E"/>
                <w:sz w:val="18"/>
                <w:szCs w:val="18"/>
              </w:rPr>
              <w:t xml:space="preserve">Chat completion</w:t>
            </w:r>
          </w:p>
        </w:tc>
        <w:tc>
          <w:tcPr>
            <w:tcW w:type="dxa" w:w="5360"/>
            <w:shd w:fill="F4F7FA" w:val="clear"/>
            <w:tcMar>
              <w:top w:type="dxa" w:w="70"/>
              <w:left w:type="dxa" w:w="110"/>
              <w:bottom w:type="dxa" w:w="70"/>
              <w:right w:type="dxa" w:w="110"/>
            </w:tcMar>
          </w:tcPr>
          <w:p>
            <w:pPr>
              <w:spacing w:after="20"/>
            </w:pPr>
            <w:r>
              <w:rPr>
                <w:color w:val="1A1A2E"/>
                <w:sz w:val="18"/>
                <w:szCs w:val="18"/>
              </w:rPr>
              <w:t xml:space="preserve">Generate the persuasive recommendation narrative grounded in retrieved products.</w:t>
            </w:r>
          </w:p>
        </w:tc>
        <w:tc>
          <w:tcPr>
            <w:tcW w:type="dxa" w:w="2300"/>
            <w:shd w:fill="F4F7FA" w:val="clear"/>
            <w:tcMar>
              <w:top w:type="dxa" w:w="70"/>
              <w:left w:type="dxa" w:w="110"/>
              <w:bottom w:type="dxa" w:w="70"/>
              <w:right w:type="dxa" w:w="110"/>
            </w:tcMar>
          </w:tcPr>
          <w:p>
            <w:pPr>
              <w:spacing w:after="20"/>
            </w:pPr>
            <w:r>
              <w:rPr>
                <w:color w:val="1A1A2E"/>
                <w:sz w:val="18"/>
                <w:szCs w:val="18"/>
              </w:rPr>
              <w:t xml:space="preserve">POST /v1/chat/completions</w:t>
            </w:r>
          </w:p>
        </w:tc>
      </w:tr>
    </w:tbl>
    <w:p>
      <w:pPr>
        <w:spacing w:after="40"/>
      </w:pPr>
    </w:p>
    <w:p>
      <w:pPr>
        <w:spacing w:after="120" w:line="276"/>
        <w:jc w:val="both"/>
      </w:pPr>
      <w:r>
        <w:rPr>
          <w:color w:val="1A1A2E"/>
          <w:sz w:val="21"/>
          <w:szCs w:val="21"/>
        </w:rPr>
        <w:t xml:space="preserve">Mesh is an OpenAI-compatible gateway, so the official </w:t>
      </w:r>
      <w:r>
        <w:rPr>
          <w:b/>
          <w:bCs/>
          <w:color w:val="1A1A2E"/>
          <w:sz w:val="21"/>
          <w:szCs w:val="21"/>
        </w:rPr>
        <w:t xml:space="preserve">openai</w:t>
      </w:r>
      <w:r>
        <w:rPr>
          <w:color w:val="1A1A2E"/>
          <w:sz w:val="21"/>
          <w:szCs w:val="21"/>
        </w:rPr>
        <w:t xml:space="preserve"> Python SDK is used with its base URL pointed at Mesh — the exact pattern sanctioned in the hackathon brief. This is the most recognizable, least ambiguous signal to the automated code screener that Mesh is genuinely used.</w:t>
      </w:r>
    </w:p>
    <w:p>
      <w:pPr>
        <w:pBdr>
          <w:top w:val="single" w:color="D5DBE1" w:sz="2" w:space="6"/>
          <w:bottom w:val="single" w:color="D5DBE1" w:sz="2" w:space="6"/>
          <w:left w:val="single" w:color="0F4C81" w:sz="10" w:space="8"/>
          <w:right w:val="single" w:color="D5DBE1" w:sz="2" w:space="6"/>
        </w:pBdr>
        <w:shd w:fill="F2F4F6" w:val="clear"/>
        <w:spacing w:after="120" w:before="60"/>
      </w:pPr>
      <w:r>
        <w:rPr>
          <w:rFonts w:ascii="Consolas" w:cs="Consolas" w:eastAsia="Consolas" w:hAnsi="Consolas"/>
          <w:color w:val="0A3D62"/>
          <w:sz w:val="18"/>
          <w:szCs w:val="18"/>
        </w:rPr>
        <w:t xml:space="preserve">from openai import OpenAI</w:t>
      </w:r>
      <w:r>
        <w:br/>
      </w:r>
      <w:r>
        <w:rPr>
          <w:rFonts w:ascii="Consolas" w:cs="Consolas" w:eastAsia="Consolas" w:hAnsi="Consolas"/>
          <w:color w:val="0A3D62"/>
          <w:sz w:val="18"/>
          <w:szCs w:val="18"/>
        </w:rPr>
        <w:t xml:space="preserve"/>
      </w:r>
      <w:r>
        <w:br/>
      </w:r>
      <w:r>
        <w:rPr>
          <w:rFonts w:ascii="Consolas" w:cs="Consolas" w:eastAsia="Consolas" w:hAnsi="Consolas"/>
          <w:color w:val="0A3D62"/>
          <w:sz w:val="18"/>
          <w:szCs w:val="18"/>
        </w:rPr>
        <w:t xml:space="preserve">client = OpenAI(</w:t>
      </w:r>
      <w:r>
        <w:br/>
      </w:r>
      <w:r>
        <w:rPr>
          <w:rFonts w:ascii="Consolas" w:cs="Consolas" w:eastAsia="Consolas" w:hAnsi="Consolas"/>
          <w:color w:val="0A3D62"/>
          <w:sz w:val="18"/>
          <w:szCs w:val="18"/>
        </w:rPr>
        <w:t xml:space="preserve">    base_url="https://api.meshapi.ai/v1",</w:t>
      </w:r>
      <w:r>
        <w:br/>
      </w:r>
      <w:r>
        <w:rPr>
          <w:rFonts w:ascii="Consolas" w:cs="Consolas" w:eastAsia="Consolas" w:hAnsi="Consolas"/>
          <w:color w:val="0A3D62"/>
          <w:sz w:val="18"/>
          <w:szCs w:val="18"/>
        </w:rPr>
        <w:t xml:space="preserve">    api_key=settings.MESH_API_KEY,   # loaded from .env, never committed</w:t>
      </w:r>
      <w:r>
        <w:br/>
      </w:r>
      <w:r>
        <w:rPr>
          <w:rFonts w:ascii="Consolas" w:cs="Consolas" w:eastAsia="Consolas" w:hAnsi="Consolas"/>
          <w:color w:val="0A3D62"/>
          <w:sz w:val="18"/>
          <w:szCs w:val="18"/>
        </w:rPr>
        <w:t xml:space="preserve">)</w:t>
      </w:r>
      <w:r>
        <w:br/>
      </w:r>
      <w:r>
        <w:rPr>
          <w:rFonts w:ascii="Consolas" w:cs="Consolas" w:eastAsia="Consolas" w:hAnsi="Consolas"/>
          <w:color w:val="0A3D62"/>
          <w:sz w:val="18"/>
          <w:szCs w:val="18"/>
        </w:rPr>
        <w:t xml:space="preserve"/>
      </w:r>
      <w:r>
        <w:br/>
      </w:r>
      <w:r>
        <w:rPr>
          <w:rFonts w:ascii="Consolas" w:cs="Consolas" w:eastAsia="Consolas" w:hAnsi="Consolas"/>
          <w:color w:val="0A3D62"/>
          <w:sz w:val="18"/>
          <w:szCs w:val="18"/>
        </w:rPr>
        <w:t xml:space="preserve"># Embedding (for Qdrant)</w:t>
      </w:r>
      <w:r>
        <w:br/>
      </w:r>
      <w:r>
        <w:rPr>
          <w:rFonts w:ascii="Consolas" w:cs="Consolas" w:eastAsia="Consolas" w:hAnsi="Consolas"/>
          <w:color w:val="0A3D62"/>
          <w:sz w:val="18"/>
          <w:szCs w:val="18"/>
        </w:rPr>
        <w:t xml:space="preserve">client.embeddings.create(model=EMBED_MODEL, input=texts)</w:t>
      </w:r>
      <w:r>
        <w:br/>
      </w:r>
      <w:r>
        <w:rPr>
          <w:rFonts w:ascii="Consolas" w:cs="Consolas" w:eastAsia="Consolas" w:hAnsi="Consolas"/>
          <w:color w:val="0A3D62"/>
          <w:sz w:val="18"/>
          <w:szCs w:val="18"/>
        </w:rPr>
        <w:t xml:space="preserve"/>
      </w:r>
      <w:r>
        <w:br/>
      </w:r>
      <w:r>
        <w:rPr>
          <w:rFonts w:ascii="Consolas" w:cs="Consolas" w:eastAsia="Consolas" w:hAnsi="Consolas"/>
          <w:color w:val="0A3D62"/>
          <w:sz w:val="18"/>
          <w:szCs w:val="18"/>
        </w:rPr>
        <w:t xml:space="preserve"># Persuasive generation</w:t>
      </w:r>
      <w:r>
        <w:br/>
      </w:r>
      <w:r>
        <w:rPr>
          <w:rFonts w:ascii="Consolas" w:cs="Consolas" w:eastAsia="Consolas" w:hAnsi="Consolas"/>
          <w:color w:val="0A3D62"/>
          <w:sz w:val="18"/>
          <w:szCs w:val="18"/>
        </w:rPr>
        <w:t xml:space="preserve">client.chat.completions.create(model=CHAT_MODEL, messages=[...])</w:t>
      </w:r>
    </w:p>
    <w:tbl>
      <w:tblPr>
        <w:tblW w:type="pct" w:w="100%"/>
        <w:tblBorders>
          <w:top w:val="none"/>
          <w:left w:val="single" w:color="1B7A6E" w:sz="18"/>
          <w:bottom w:val="none"/>
          <w:right w:val="none"/>
          <w:insideH w:val="none"/>
          <w:insideV w:val="none"/>
        </w:tblBorders>
      </w:tblPr>
      <w:tblGrid>
        <w:gridCol w:w="9360"/>
      </w:tblGrid>
      <w:tr>
        <w:tc>
          <w:tcPr>
            <w:tcW w:type="dxa" w:w="9360"/>
            <w:shd w:fill="E7F3F0" w:val="clear"/>
            <w:tcMar>
              <w:top w:type="dxa" w:w="120"/>
              <w:left w:type="dxa" w:w="160"/>
              <w:bottom w:type="dxa" w:w="120"/>
              <w:right w:type="dxa" w:w="160"/>
            </w:tcMar>
          </w:tcPr>
          <w:p>
            <w:pPr>
              <w:spacing w:after="40"/>
            </w:pPr>
            <w:r>
              <w:rPr>
                <w:b/>
                <w:bCs/>
                <w:color w:val="1B7A6E"/>
                <w:sz w:val="20"/>
                <w:szCs w:val="20"/>
              </w:rPr>
              <w:t xml:space="preserve">Design decision — swappable LLM client</w:t>
            </w:r>
          </w:p>
          <w:p>
            <w:pPr>
              <w:spacing w:after="40"/>
            </w:pPr>
            <w:r>
              <w:rPr>
                <w:color w:val="1A1A2E"/>
                <w:sz w:val="20"/>
                <w:szCs w:val="20"/>
              </w:rPr>
              <w:t xml:space="preserve">All Mesh calls are wrapped in a single internal </w:t>
            </w:r>
            <w:r>
              <w:rPr>
                <w:rFonts w:ascii="Consolas" w:cs="Consolas" w:eastAsia="Consolas" w:hAnsi="Consolas"/>
                <w:color w:val="0A3D62"/>
                <w:sz w:val="19"/>
                <w:szCs w:val="19"/>
              </w:rPr>
              <w:t xml:space="preserve">LLMClient</w:t>
            </w:r>
            <w:r>
              <w:rPr>
                <w:color w:val="1A1A2E"/>
                <w:sz w:val="20"/>
                <w:szCs w:val="20"/>
              </w:rPr>
              <w:t xml:space="preserve"> class. Agent logic never calls the SDK directly. If the SDK or a model needs to change, it is a one-file edit that does not touch the recommendation pipeline. This keeps Mesh usage centralized, auditable, and trivially verifiable.</w:t>
            </w:r>
          </w:p>
        </w:tc>
      </w:tr>
    </w:tbl>
    <w:tbl>
      <w:tblPr>
        <w:tblW w:type="pct" w:w="100%"/>
        <w:tblBorders>
          <w:top w:val="none"/>
          <w:left w:val="single" w:color="0F4C81" w:sz="18"/>
          <w:bottom w:val="none"/>
          <w:right w:val="none"/>
          <w:insideH w:val="none"/>
          <w:insideV w:val="none"/>
        </w:tblBorders>
      </w:tblPr>
      <w:tblGrid>
        <w:gridCol w:w="9360"/>
      </w:tblGrid>
      <w:tr>
        <w:tc>
          <w:tcPr>
            <w:tcW w:type="dxa" w:w="9360"/>
            <w:shd w:fill="EAF1F7" w:val="clear"/>
            <w:tcMar>
              <w:top w:type="dxa" w:w="120"/>
              <w:left w:type="dxa" w:w="160"/>
              <w:bottom w:type="dxa" w:w="120"/>
              <w:right w:type="dxa" w:w="160"/>
            </w:tcMar>
          </w:tcPr>
          <w:p>
            <w:pPr>
              <w:spacing w:after="40"/>
            </w:pPr>
            <w:r>
              <w:rPr>
                <w:b/>
                <w:bCs/>
                <w:color w:val="0F4C81"/>
                <w:sz w:val="20"/>
                <w:szCs w:val="20"/>
              </w:rPr>
              <w:t xml:space="preserve">Compliance checklist</w:t>
            </w:r>
          </w:p>
          <w:p>
            <w:pPr>
              <w:spacing w:after="40"/>
            </w:pPr>
            <w:r>
              <w:rPr>
                <w:b/>
                <w:bCs/>
                <w:color w:val="1B7A6E"/>
                <w:sz w:val="20"/>
                <w:szCs w:val="20"/>
              </w:rPr>
              <w:t xml:space="preserve">✓  </w:t>
            </w:r>
            <w:r>
              <w:rPr>
                <w:color w:val="1A1A2E"/>
                <w:sz w:val="20"/>
                <w:szCs w:val="20"/>
              </w:rPr>
              <w:t xml:space="preserve">Embeddings routed through Mesh (not a local/HuggingFace model).</w:t>
            </w:r>
          </w:p>
          <w:p>
            <w:pPr>
              <w:spacing w:after="40"/>
            </w:pPr>
            <w:r>
              <w:rPr>
                <w:b/>
                <w:bCs/>
                <w:color w:val="1B7A6E"/>
                <w:sz w:val="20"/>
                <w:szCs w:val="20"/>
              </w:rPr>
              <w:t xml:space="preserve">✓  </w:t>
            </w:r>
            <w:r>
              <w:rPr>
                <w:color w:val="1A1A2E"/>
                <w:sz w:val="20"/>
                <w:szCs w:val="20"/>
              </w:rPr>
              <w:t xml:space="preserve">Chat completion routed through Mesh.</w:t>
            </w:r>
          </w:p>
          <w:p>
            <w:pPr>
              <w:spacing w:after="40"/>
            </w:pPr>
            <w:r>
              <w:rPr>
                <w:b/>
                <w:bCs/>
                <w:color w:val="1B7A6E"/>
                <w:sz w:val="20"/>
                <w:szCs w:val="20"/>
              </w:rPr>
              <w:t xml:space="preserve">✓  </w:t>
            </w:r>
            <w:r>
              <w:rPr>
                <w:color w:val="1A1A2E"/>
                <w:sz w:val="20"/>
                <w:szCs w:val="20"/>
              </w:rPr>
              <w:t xml:space="preserve">No AI call anywhere in the codebase bypasses Mesh.</w:t>
            </w:r>
          </w:p>
          <w:p>
            <w:pPr>
              <w:spacing w:after="40"/>
            </w:pPr>
            <w:r>
              <w:rPr>
                <w:b/>
                <w:bCs/>
                <w:color w:val="1B7A6E"/>
                <w:sz w:val="20"/>
                <w:szCs w:val="20"/>
              </w:rPr>
              <w:t xml:space="preserve">✓  </w:t>
            </w:r>
            <w:r>
              <w:rPr>
                <w:color w:val="1A1A2E"/>
                <w:sz w:val="20"/>
                <w:szCs w:val="20"/>
              </w:rPr>
              <w:t xml:space="preserve">Key stored as MESH_API_KEY in a gitignored .env and as a GitHub Actions secret.</w:t>
            </w:r>
          </w:p>
        </w:tc>
      </w:tr>
    </w:tbl>
    <w:p>
      <w:r>
        <w:br w:type="page"/>
      </w:r>
    </w:p>
    <w:p>
      <w:pPr>
        <w:pStyle w:val="Heading1"/>
        <w:spacing w:after="140" w:before="320"/>
      </w:pPr>
      <w:r>
        <w:rPr>
          <w:b/>
          <w:bCs/>
          <w:color w:val="0F4C81"/>
          <w:sz w:val="30"/>
          <w:szCs w:val="30"/>
        </w:rPr>
        <w:t xml:space="preserve">4.  System Architecture</w:t>
      </w:r>
    </w:p>
    <w:p>
      <w:pPr>
        <w:pStyle w:val="Heading2"/>
        <w:spacing w:after="100" w:before="220"/>
      </w:pPr>
      <w:r>
        <w:rPr>
          <w:b/>
          <w:bCs/>
          <w:color w:val="1A1A2E"/>
          <w:sz w:val="25"/>
          <w:szCs w:val="25"/>
        </w:rPr>
        <w:t xml:space="preserve">4.1  High-Level Component View</w:t>
      </w:r>
    </w:p>
    <w:p>
      <w:pPr>
        <w:spacing w:after="120" w:line="276"/>
        <w:jc w:val="both"/>
      </w:pPr>
      <w:r>
        <w:rPr>
          <w:color w:val="1A1A2E"/>
          <w:sz w:val="21"/>
          <w:szCs w:val="21"/>
        </w:rPr>
        <w:t xml:space="preserve">The system is organized into a browser layer, a FastAPI application layer, a persistence layer (relational + vector), and external services (Mesh API and the email provider). The diagram below shows the primary data flows.</w:t>
      </w:r>
    </w:p>
    <w:p>
      <w:pPr>
        <w:pBdr>
          <w:top w:val="single" w:color="D5DBE1" w:sz="2" w:space="6"/>
          <w:bottom w:val="single" w:color="D5DBE1" w:sz="2" w:space="6"/>
          <w:left w:val="single" w:color="0F4C81" w:sz="10" w:space="8"/>
          <w:right w:val="single" w:color="D5DBE1" w:sz="2" w:space="6"/>
        </w:pBdr>
        <w:shd w:fill="F2F4F6" w:val="clear"/>
        <w:spacing w:after="120" w:before="60"/>
      </w:pPr>
      <w:r>
        <w:rPr>
          <w:rFonts w:ascii="Consolas" w:cs="Consolas" w:eastAsia="Consolas" w:hAnsi="Consolas"/>
          <w:color w:val="0A3D62"/>
          <w:sz w:val="18"/>
          <w:szCs w:val="18"/>
        </w:rPr>
        <w:t xml:space="preserve">  BROWSER (Jinja2 pages + vanilla JS tracker)</w:t>
      </w:r>
      <w:r>
        <w:br/>
      </w:r>
      <w:r>
        <w:rPr>
          <w:rFonts w:ascii="Consolas" w:cs="Consolas" w:eastAsia="Consolas" w:hAnsi="Consolas"/>
          <w:color w:val="0A3D62"/>
          <w:sz w:val="18"/>
          <w:szCs w:val="18"/>
        </w:rPr>
        <w:t xml:space="preserve">     |  page views / searches / clicks / dwell     |  view recommendations</w:t>
      </w:r>
      <w:r>
        <w:br/>
      </w:r>
      <w:r>
        <w:rPr>
          <w:rFonts w:ascii="Consolas" w:cs="Consolas" w:eastAsia="Consolas" w:hAnsi="Consolas"/>
          <w:color w:val="0A3D62"/>
          <w:sz w:val="18"/>
          <w:szCs w:val="18"/>
        </w:rPr>
        <w:t xml:space="preserve">     v  (batched, throttled, non-blocking POST)     ^</w:t>
      </w:r>
      <w:r>
        <w:br/>
      </w:r>
      <w:r>
        <w:rPr>
          <w:rFonts w:ascii="Consolas" w:cs="Consolas" w:eastAsia="Consolas" w:hAnsi="Consolas"/>
          <w:color w:val="0A3D62"/>
          <w:sz w:val="18"/>
          <w:szCs w:val="18"/>
        </w:rPr>
        <w:t xml:space="preserve">  ============================ FastAPI APP =============================</w:t>
      </w:r>
      <w:r>
        <w:br/>
      </w:r>
      <w:r>
        <w:rPr>
          <w:rFonts w:ascii="Consolas" w:cs="Consolas" w:eastAsia="Consolas" w:hAnsi="Consolas"/>
          <w:color w:val="0A3D62"/>
          <w:sz w:val="18"/>
          <w:szCs w:val="18"/>
        </w:rPr>
        <w:t xml:space="preserve">   Auth &amp;     Catalog &amp;      Event         Recommendation      Scheduler</w:t>
      </w:r>
      <w:r>
        <w:br/>
      </w:r>
      <w:r>
        <w:rPr>
          <w:rFonts w:ascii="Consolas" w:cs="Consolas" w:eastAsia="Consolas" w:hAnsi="Consolas"/>
          <w:color w:val="0A3D62"/>
          <w:sz w:val="18"/>
          <w:szCs w:val="18"/>
        </w:rPr>
        <w:t xml:space="preserve">   Roles      Admin CRUD     Ingestion     Engine (Agent)      (APScheduler)</w:t>
      </w:r>
      <w:r>
        <w:br/>
      </w:r>
      <w:r>
        <w:rPr>
          <w:rFonts w:ascii="Consolas" w:cs="Consolas" w:eastAsia="Consolas" w:hAnsi="Consolas"/>
          <w:color w:val="0A3D62"/>
          <w:sz w:val="18"/>
          <w:szCs w:val="18"/>
        </w:rPr>
        <w:t xml:space="preserve">     |            |             |                |                  |</w:t>
      </w:r>
      <w:r>
        <w:br/>
      </w:r>
      <w:r>
        <w:rPr>
          <w:rFonts w:ascii="Consolas" w:cs="Consolas" w:eastAsia="Consolas" w:hAnsi="Consolas"/>
          <w:color w:val="0A3D62"/>
          <w:sz w:val="18"/>
          <w:szCs w:val="18"/>
        </w:rPr>
        <w:t xml:space="preserve">     |            | dual-write  | store events   | RAG + generate   | daily digest</w:t>
      </w:r>
      <w:r>
        <w:br/>
      </w:r>
      <w:r>
        <w:rPr>
          <w:rFonts w:ascii="Consolas" w:cs="Consolas" w:eastAsia="Consolas" w:hAnsi="Consolas"/>
          <w:color w:val="0A3D62"/>
          <w:sz w:val="18"/>
          <w:szCs w:val="18"/>
        </w:rPr>
        <w:t xml:space="preserve">     v            v             v                v                  v</w:t>
      </w:r>
      <w:r>
        <w:br/>
      </w:r>
      <w:r>
        <w:rPr>
          <w:rFonts w:ascii="Consolas" w:cs="Consolas" w:eastAsia="Consolas" w:hAnsi="Consolas"/>
          <w:color w:val="0A3D62"/>
          <w:sz w:val="18"/>
          <w:szCs w:val="18"/>
        </w:rPr>
        <w:t xml:space="preserve">  [ Relational DB (SQLite/Postgres via SQLAlchemy) ]     [ Email provider ]</w:t>
      </w:r>
      <w:r>
        <w:br/>
      </w:r>
      <w:r>
        <w:rPr>
          <w:rFonts w:ascii="Consolas" w:cs="Consolas" w:eastAsia="Consolas" w:hAnsi="Consolas"/>
          <w:color w:val="0A3D62"/>
          <w:sz w:val="18"/>
          <w:szCs w:val="18"/>
        </w:rPr>
        <w:t xml:space="preserve">                  |                        ^  retrieve top-K</w:t>
      </w:r>
      <w:r>
        <w:br/>
      </w:r>
      <w:r>
        <w:rPr>
          <w:rFonts w:ascii="Consolas" w:cs="Consolas" w:eastAsia="Consolas" w:hAnsi="Consolas"/>
          <w:color w:val="0A3D62"/>
          <w:sz w:val="18"/>
          <w:szCs w:val="18"/>
        </w:rPr>
        <w:t xml:space="preserve">                  | embed + upsert         |</w:t>
      </w:r>
      <w:r>
        <w:br/>
      </w:r>
      <w:r>
        <w:rPr>
          <w:rFonts w:ascii="Consolas" w:cs="Consolas" w:eastAsia="Consolas" w:hAnsi="Consolas"/>
          <w:color w:val="0A3D62"/>
          <w:sz w:val="18"/>
          <w:szCs w:val="18"/>
        </w:rPr>
        <w:t xml:space="preserve">                  v                        |</w:t>
      </w:r>
      <w:r>
        <w:br/>
      </w:r>
      <w:r>
        <w:rPr>
          <w:rFonts w:ascii="Consolas" w:cs="Consolas" w:eastAsia="Consolas" w:hAnsi="Consolas"/>
          <w:color w:val="0A3D62"/>
          <w:sz w:val="18"/>
          <w:szCs w:val="18"/>
        </w:rPr>
        <w:t xml:space="preserve">            [ Qdrant vector DB ] &lt;---------+</w:t>
      </w:r>
      <w:r>
        <w:br/>
      </w:r>
      <w:r>
        <w:rPr>
          <w:rFonts w:ascii="Consolas" w:cs="Consolas" w:eastAsia="Consolas" w:hAnsi="Consolas"/>
          <w:color w:val="0A3D62"/>
          <w:sz w:val="18"/>
          <w:szCs w:val="18"/>
        </w:rPr>
        <w:t xml:space="preserve">                                           |</w:t>
      </w:r>
      <w:r>
        <w:br/>
      </w:r>
      <w:r>
        <w:rPr>
          <w:rFonts w:ascii="Consolas" w:cs="Consolas" w:eastAsia="Consolas" w:hAnsi="Consolas"/>
          <w:color w:val="0A3D62"/>
          <w:sz w:val="18"/>
          <w:szCs w:val="18"/>
        </w:rPr>
        <w:t xml:space="preserve">     every embedding &amp; generation call --&gt; [ Mesh API gateway ]</w:t>
      </w:r>
    </w:p>
    <w:p>
      <w:pPr>
        <w:pStyle w:val="Heading2"/>
        <w:spacing w:after="100" w:before="220"/>
      </w:pPr>
      <w:r>
        <w:rPr>
          <w:b/>
          <w:bCs/>
          <w:color w:val="1A1A2E"/>
          <w:sz w:val="25"/>
          <w:szCs w:val="25"/>
        </w:rPr>
        <w:t xml:space="preserve">4.2  Request/Behavior Lifecycle</w:t>
      </w:r>
    </w:p>
    <w:p>
      <w:pPr>
        <w:pStyle w:val="ListParagraph"/>
        <w:numPr>
          <w:ilvl w:val="0"/>
          <w:numId w:val="3"/>
        </w:numPr>
        <w:spacing w:after="70" w:line="264"/>
      </w:pPr>
      <w:r>
        <w:rPr>
          <w:color w:val="1A1A2E"/>
          <w:sz w:val="21"/>
          <w:szCs w:val="21"/>
        </w:rPr>
        <w:t xml:space="preserve">A user acts in the browser (views a course, searches, clicks, dwells).</w:t>
      </w:r>
    </w:p>
    <w:p>
      <w:pPr>
        <w:pStyle w:val="ListParagraph"/>
        <w:numPr>
          <w:ilvl w:val="0"/>
          <w:numId w:val="3"/>
        </w:numPr>
        <w:spacing w:after="70" w:line="264"/>
      </w:pPr>
      <w:r>
        <w:rPr>
          <w:color w:val="1A1A2E"/>
          <w:sz w:val="21"/>
          <w:szCs w:val="21"/>
        </w:rPr>
        <w:t xml:space="preserve">The vanilla-JS tracker batches and throttles these events and POSTs them asynchronously, without blocking the UI.</w:t>
      </w:r>
    </w:p>
    <w:p>
      <w:pPr>
        <w:pStyle w:val="ListParagraph"/>
        <w:numPr>
          <w:ilvl w:val="0"/>
          <w:numId w:val="3"/>
        </w:numPr>
        <w:spacing w:after="70" w:line="264"/>
      </w:pPr>
      <w:r>
        <w:rPr>
          <w:color w:val="1A1A2E"/>
          <w:sz w:val="21"/>
          <w:szCs w:val="21"/>
        </w:rPr>
        <w:t xml:space="preserve">The Event Ingestion endpoint validates and stores events in the relational DB with who/what/when.</w:t>
      </w:r>
    </w:p>
    <w:p>
      <w:pPr>
        <w:pStyle w:val="ListParagraph"/>
        <w:numPr>
          <w:ilvl w:val="0"/>
          <w:numId w:val="3"/>
        </w:numPr>
        <w:spacing w:after="70" w:line="264"/>
      </w:pPr>
      <w:r>
        <w:rPr>
          <w:color w:val="1A1A2E"/>
          <w:sz w:val="21"/>
          <w:szCs w:val="21"/>
        </w:rPr>
        <w:t xml:space="preserve">A trigger fires when the user crosses an event-count threshold (or requests a manual refresh).</w:t>
      </w:r>
    </w:p>
    <w:p>
      <w:pPr>
        <w:pStyle w:val="ListParagraph"/>
        <w:numPr>
          <w:ilvl w:val="0"/>
          <w:numId w:val="3"/>
        </w:numPr>
        <w:spacing w:after="70" w:line="264"/>
      </w:pPr>
      <w:r>
        <w:rPr>
          <w:color w:val="1A1A2E"/>
          <w:sz w:val="21"/>
          <w:szCs w:val="21"/>
        </w:rPr>
        <w:t xml:space="preserve">The Agent builds a behavioral profile, embeds a query via Mesh, and retrieves the top-K relevant products from Qdrant.</w:t>
      </w:r>
    </w:p>
    <w:p>
      <w:pPr>
        <w:pStyle w:val="ListParagraph"/>
        <w:numPr>
          <w:ilvl w:val="0"/>
          <w:numId w:val="3"/>
        </w:numPr>
        <w:spacing w:after="70" w:line="264"/>
      </w:pPr>
      <w:r>
        <w:rPr>
          <w:color w:val="1A1A2E"/>
          <w:sz w:val="21"/>
          <w:szCs w:val="21"/>
        </w:rPr>
        <w:t xml:space="preserve">The Agent sends the profile + retrieved candidates to a Mesh chat model, which generates a persuasive narrative + specific recommendations.</w:t>
      </w:r>
    </w:p>
    <w:p>
      <w:pPr>
        <w:pStyle w:val="ListParagraph"/>
        <w:numPr>
          <w:ilvl w:val="0"/>
          <w:numId w:val="3"/>
        </w:numPr>
        <w:spacing w:after="70" w:line="264"/>
      </w:pPr>
      <w:r>
        <w:rPr>
          <w:color w:val="1A1A2E"/>
          <w:sz w:val="21"/>
          <w:szCs w:val="21"/>
        </w:rPr>
        <w:t xml:space="preserve">The recommendation is stored and shown on the site; it refreshes as behavior continues to change.</w:t>
      </w:r>
    </w:p>
    <w:p>
      <w:pPr>
        <w:pStyle w:val="Heading2"/>
        <w:spacing w:after="100" w:before="220"/>
      </w:pPr>
      <w:r>
        <w:rPr>
          <w:b/>
          <w:bCs/>
          <w:color w:val="1A1A2E"/>
          <w:sz w:val="25"/>
          <w:szCs w:val="25"/>
        </w:rPr>
        <w:t xml:space="preserve">4.3  Project Structure</w:t>
      </w:r>
    </w:p>
    <w:p>
      <w:pPr>
        <w:spacing w:after="120" w:line="276"/>
        <w:jc w:val="both"/>
      </w:pPr>
      <w:r>
        <w:rPr>
          <w:color w:val="1A1A2E"/>
          <w:sz w:val="21"/>
          <w:szCs w:val="21"/>
        </w:rPr>
        <w:t xml:space="preserve">A conventional, readable layout — legibility matters because the repository is read by both an automated screener and human judges.</w:t>
      </w:r>
    </w:p>
    <w:p>
      <w:pPr>
        <w:pBdr>
          <w:top w:val="single" w:color="D5DBE1" w:sz="2" w:space="6"/>
          <w:bottom w:val="single" w:color="D5DBE1" w:sz="2" w:space="6"/>
          <w:left w:val="single" w:color="0F4C81" w:sz="10" w:space="8"/>
          <w:right w:val="single" w:color="D5DBE1" w:sz="2" w:space="6"/>
        </w:pBdr>
        <w:shd w:fill="F2F4F6" w:val="clear"/>
        <w:spacing w:after="120" w:before="60"/>
      </w:pPr>
      <w:r>
        <w:rPr>
          <w:rFonts w:ascii="Consolas" w:cs="Consolas" w:eastAsia="Consolas" w:hAnsi="Consolas"/>
          <w:color w:val="0A3D62"/>
          <w:sz w:val="18"/>
          <w:szCs w:val="18"/>
        </w:rPr>
        <w:t xml:space="preserve">smartreco/</w:t>
      </w:r>
      <w:r>
        <w:br/>
      </w:r>
      <w:r>
        <w:rPr>
          <w:rFonts w:ascii="Consolas" w:cs="Consolas" w:eastAsia="Consolas" w:hAnsi="Consolas"/>
          <w:color w:val="0A3D62"/>
          <w:sz w:val="18"/>
          <w:szCs w:val="18"/>
        </w:rPr>
        <w:t xml:space="preserve">  app/</w:t>
      </w:r>
      <w:r>
        <w:br/>
      </w:r>
      <w:r>
        <w:rPr>
          <w:rFonts w:ascii="Consolas" w:cs="Consolas" w:eastAsia="Consolas" w:hAnsi="Consolas"/>
          <w:color w:val="0A3D62"/>
          <w:sz w:val="18"/>
          <w:szCs w:val="18"/>
        </w:rPr>
        <w:t xml:space="preserve">    main.py                # FastAPI app factory, routers, startup</w:t>
      </w:r>
      <w:r>
        <w:br/>
      </w:r>
      <w:r>
        <w:rPr>
          <w:rFonts w:ascii="Consolas" w:cs="Consolas" w:eastAsia="Consolas" w:hAnsi="Consolas"/>
          <w:color w:val="0A3D62"/>
          <w:sz w:val="18"/>
          <w:szCs w:val="18"/>
        </w:rPr>
        <w:t xml:space="preserve">    config.py              # pydantic-settings; reads .env</w:t>
      </w:r>
      <w:r>
        <w:br/>
      </w:r>
      <w:r>
        <w:rPr>
          <w:rFonts w:ascii="Consolas" w:cs="Consolas" w:eastAsia="Consolas" w:hAnsi="Consolas"/>
          <w:color w:val="0A3D62"/>
          <w:sz w:val="18"/>
          <w:szCs w:val="18"/>
        </w:rPr>
        <w:t xml:space="preserve">    db.py                  # SQLAlchemy engine/session</w:t>
      </w:r>
      <w:r>
        <w:br/>
      </w:r>
      <w:r>
        <w:rPr>
          <w:rFonts w:ascii="Consolas" w:cs="Consolas" w:eastAsia="Consolas" w:hAnsi="Consolas"/>
          <w:color w:val="0A3D62"/>
          <w:sz w:val="18"/>
          <w:szCs w:val="18"/>
        </w:rPr>
        <w:t xml:space="preserve">    models/                # ORM models: user, product, event, recommendation</w:t>
      </w:r>
      <w:r>
        <w:br/>
      </w:r>
      <w:r>
        <w:rPr>
          <w:rFonts w:ascii="Consolas" w:cs="Consolas" w:eastAsia="Consolas" w:hAnsi="Consolas"/>
          <w:color w:val="0A3D62"/>
          <w:sz w:val="18"/>
          <w:szCs w:val="18"/>
        </w:rPr>
        <w:t xml:space="preserve">    schemas/               # Pydantic request/response models</w:t>
      </w:r>
      <w:r>
        <w:br/>
      </w:r>
      <w:r>
        <w:rPr>
          <w:rFonts w:ascii="Consolas" w:cs="Consolas" w:eastAsia="Consolas" w:hAnsi="Consolas"/>
          <w:color w:val="0A3D62"/>
          <w:sz w:val="18"/>
          <w:szCs w:val="18"/>
        </w:rPr>
        <w:t xml:space="preserve">    routers/               # auth, catalog, admin, events, recommendations</w:t>
      </w:r>
      <w:r>
        <w:br/>
      </w:r>
      <w:r>
        <w:rPr>
          <w:rFonts w:ascii="Consolas" w:cs="Consolas" w:eastAsia="Consolas" w:hAnsi="Consolas"/>
          <w:color w:val="0A3D62"/>
          <w:sz w:val="18"/>
          <w:szCs w:val="18"/>
        </w:rPr>
        <w:t xml:space="preserve">    services/</w:t>
      </w:r>
      <w:r>
        <w:br/>
      </w:r>
      <w:r>
        <w:rPr>
          <w:rFonts w:ascii="Consolas" w:cs="Consolas" w:eastAsia="Consolas" w:hAnsi="Consolas"/>
          <w:color w:val="0A3D62"/>
          <w:sz w:val="18"/>
          <w:szCs w:val="18"/>
        </w:rPr>
        <w:t xml:space="preserve">      llm_client.py        # thin Mesh wrapper (openai SDK)</w:t>
      </w:r>
      <w:r>
        <w:br/>
      </w:r>
      <w:r>
        <w:rPr>
          <w:rFonts w:ascii="Consolas" w:cs="Consolas" w:eastAsia="Consolas" w:hAnsi="Consolas"/>
          <w:color w:val="0A3D62"/>
          <w:sz w:val="18"/>
          <w:szCs w:val="18"/>
        </w:rPr>
        <w:t xml:space="preserve">      vector_store.py      # Qdrant client + dual-write sync</w:t>
      </w:r>
      <w:r>
        <w:br/>
      </w:r>
      <w:r>
        <w:rPr>
          <w:rFonts w:ascii="Consolas" w:cs="Consolas" w:eastAsia="Consolas" w:hAnsi="Consolas"/>
          <w:color w:val="0A3D62"/>
          <w:sz w:val="18"/>
          <w:szCs w:val="18"/>
        </w:rPr>
        <w:t xml:space="preserve">      embeddings.py        # Mesh embeddings helper</w:t>
      </w:r>
      <w:r>
        <w:br/>
      </w:r>
      <w:r>
        <w:rPr>
          <w:rFonts w:ascii="Consolas" w:cs="Consolas" w:eastAsia="Consolas" w:hAnsi="Consolas"/>
          <w:color w:val="0A3D62"/>
          <w:sz w:val="18"/>
          <w:szCs w:val="18"/>
        </w:rPr>
        <w:t xml:space="preserve">      tracking.py          # event validation + storage</w:t>
      </w:r>
      <w:r>
        <w:br/>
      </w:r>
      <w:r>
        <w:rPr>
          <w:rFonts w:ascii="Consolas" w:cs="Consolas" w:eastAsia="Consolas" w:hAnsi="Consolas"/>
          <w:color w:val="0A3D62"/>
          <w:sz w:val="18"/>
          <w:szCs w:val="18"/>
        </w:rPr>
        <w:t xml:space="preserve">    agent/</w:t>
      </w:r>
      <w:r>
        <w:br/>
      </w:r>
      <w:r>
        <w:rPr>
          <w:rFonts w:ascii="Consolas" w:cs="Consolas" w:eastAsia="Consolas" w:hAnsi="Consolas"/>
          <w:color w:val="0A3D62"/>
          <w:sz w:val="18"/>
          <w:szCs w:val="18"/>
        </w:rPr>
        <w:t xml:space="preserve">      graph.py             # LangGraph workflow definition</w:t>
      </w:r>
      <w:r>
        <w:br/>
      </w:r>
      <w:r>
        <w:rPr>
          <w:rFonts w:ascii="Consolas" w:cs="Consolas" w:eastAsia="Consolas" w:hAnsi="Consolas"/>
          <w:color w:val="0A3D62"/>
          <w:sz w:val="18"/>
          <w:szCs w:val="18"/>
        </w:rPr>
        <w:t xml:space="preserve">      nodes.py             # analyze / retrieve / evaluate / refine / generate</w:t>
      </w:r>
      <w:r>
        <w:br/>
      </w:r>
      <w:r>
        <w:rPr>
          <w:rFonts w:ascii="Consolas" w:cs="Consolas" w:eastAsia="Consolas" w:hAnsi="Consolas"/>
          <w:color w:val="0A3D62"/>
          <w:sz w:val="18"/>
          <w:szCs w:val="18"/>
        </w:rPr>
        <w:t xml:space="preserve">      triggers.py          # event-threshold + manual refresh logic</w:t>
      </w:r>
      <w:r>
        <w:br/>
      </w:r>
      <w:r>
        <w:rPr>
          <w:rFonts w:ascii="Consolas" w:cs="Consolas" w:eastAsia="Consolas" w:hAnsi="Consolas"/>
          <w:color w:val="0A3D62"/>
          <w:sz w:val="18"/>
          <w:szCs w:val="18"/>
        </w:rPr>
        <w:t xml:space="preserve">    scheduler.py           # APScheduler daily digest job</w:t>
      </w:r>
      <w:r>
        <w:br/>
      </w:r>
      <w:r>
        <w:rPr>
          <w:rFonts w:ascii="Consolas" w:cs="Consolas" w:eastAsia="Consolas" w:hAnsi="Consolas"/>
          <w:color w:val="0A3D62"/>
          <w:sz w:val="18"/>
          <w:szCs w:val="18"/>
        </w:rPr>
        <w:t xml:space="preserve">    templates/             # Jinja2 pages</w:t>
      </w:r>
      <w:r>
        <w:br/>
      </w:r>
      <w:r>
        <w:rPr>
          <w:rFonts w:ascii="Consolas" w:cs="Consolas" w:eastAsia="Consolas" w:hAnsi="Consolas"/>
          <w:color w:val="0A3D62"/>
          <w:sz w:val="18"/>
          <w:szCs w:val="18"/>
        </w:rPr>
        <w:t xml:space="preserve">    static/js/tracker.js   # non-blocking behavioral tracker</w:t>
      </w:r>
      <w:r>
        <w:br/>
      </w:r>
      <w:r>
        <w:rPr>
          <w:rFonts w:ascii="Consolas" w:cs="Consolas" w:eastAsia="Consolas" w:hAnsi="Consolas"/>
          <w:color w:val="0A3D62"/>
          <w:sz w:val="18"/>
          <w:szCs w:val="18"/>
        </w:rPr>
        <w:t xml:space="preserve">  scripts/seed_catalog.py  # load dataset -&gt; DB + Qdrant</w:t>
      </w:r>
      <w:r>
        <w:br/>
      </w:r>
      <w:r>
        <w:rPr>
          <w:rFonts w:ascii="Consolas" w:cs="Consolas" w:eastAsia="Consolas" w:hAnsi="Consolas"/>
          <w:color w:val="0A3D62"/>
          <w:sz w:val="18"/>
          <w:szCs w:val="18"/>
        </w:rPr>
        <w:t xml:space="preserve">  .github/workflows/smartreco-checks.yml</w:t>
      </w:r>
      <w:r>
        <w:br/>
      </w:r>
      <w:r>
        <w:rPr>
          <w:rFonts w:ascii="Consolas" w:cs="Consolas" w:eastAsia="Consolas" w:hAnsi="Consolas"/>
          <w:color w:val="0A3D62"/>
          <w:sz w:val="18"/>
          <w:szCs w:val="18"/>
        </w:rPr>
        <w:t xml:space="preserve">  requirements.txt / pyproject.toml (uv)</w:t>
      </w:r>
      <w:r>
        <w:br/>
      </w:r>
      <w:r>
        <w:rPr>
          <w:rFonts w:ascii="Consolas" w:cs="Consolas" w:eastAsia="Consolas" w:hAnsi="Consolas"/>
          <w:color w:val="0A3D62"/>
          <w:sz w:val="18"/>
          <w:szCs w:val="18"/>
        </w:rPr>
        <w:t xml:space="preserve">  .env.example  .gitignore  README.md</w:t>
      </w:r>
    </w:p>
    <w:p>
      <w:r>
        <w:br w:type="page"/>
      </w:r>
    </w:p>
    <w:p>
      <w:pPr>
        <w:pStyle w:val="Heading1"/>
        <w:spacing w:after="140" w:before="320"/>
      </w:pPr>
      <w:r>
        <w:rPr>
          <w:b/>
          <w:bCs/>
          <w:color w:val="0F4C81"/>
          <w:sz w:val="30"/>
          <w:szCs w:val="30"/>
        </w:rPr>
        <w:t xml:space="preserve">5.  Technology Stack</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1900"/>
        <w:gridCol w:w="2400"/>
        <w:gridCol w:w="5060"/>
      </w:tblGrid>
      <w:tr>
        <w:trPr>
          <w:tblHeader/>
        </w:trPr>
        <w:tc>
          <w:tcPr>
            <w:tcW w:type="dxa" w:w="1900"/>
            <w:shd w:fill="0F4C81" w:val="clear"/>
            <w:tcMar>
              <w:top w:type="dxa" w:w="80"/>
              <w:left w:type="dxa" w:w="110"/>
              <w:bottom w:type="dxa" w:w="80"/>
              <w:right w:type="dxa" w:w="110"/>
            </w:tcMar>
          </w:tcPr>
          <w:p>
            <w:r>
              <w:rPr>
                <w:b/>
                <w:bCs/>
                <w:color w:val="FFFFFF"/>
                <w:sz w:val="19"/>
                <w:szCs w:val="19"/>
              </w:rPr>
              <w:t xml:space="preserve">Layer</w:t>
            </w:r>
          </w:p>
        </w:tc>
        <w:tc>
          <w:tcPr>
            <w:tcW w:type="dxa" w:w="2400"/>
            <w:shd w:fill="0F4C81" w:val="clear"/>
            <w:tcMar>
              <w:top w:type="dxa" w:w="80"/>
              <w:left w:type="dxa" w:w="110"/>
              <w:bottom w:type="dxa" w:w="80"/>
              <w:right w:type="dxa" w:w="110"/>
            </w:tcMar>
          </w:tcPr>
          <w:p>
            <w:r>
              <w:rPr>
                <w:b/>
                <w:bCs/>
                <w:color w:val="FFFFFF"/>
                <w:sz w:val="19"/>
                <w:szCs w:val="19"/>
              </w:rPr>
              <w:t xml:space="preserve">Choice</w:t>
            </w:r>
          </w:p>
        </w:tc>
        <w:tc>
          <w:tcPr>
            <w:tcW w:type="dxa" w:w="5060"/>
            <w:shd w:fill="0F4C81" w:val="clear"/>
            <w:tcMar>
              <w:top w:type="dxa" w:w="80"/>
              <w:left w:type="dxa" w:w="110"/>
              <w:bottom w:type="dxa" w:w="80"/>
              <w:right w:type="dxa" w:w="110"/>
            </w:tcMar>
          </w:tcPr>
          <w:p>
            <w:r>
              <w:rPr>
                <w:b/>
                <w:bCs/>
                <w:color w:val="FFFFFF"/>
                <w:sz w:val="19"/>
                <w:szCs w:val="19"/>
              </w:rPr>
              <w:t xml:space="preserve">Why</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Package manager</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uv</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Fast, reproducible dependency resolution and locking; modern Python workflow.</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Backend framework</w:t>
            </w:r>
          </w:p>
        </w:tc>
        <w:tc>
          <w:tcPr>
            <w:tcW w:type="dxa" w:w="2400"/>
            <w:shd w:fill="F4F7FA" w:val="clear"/>
            <w:tcMar>
              <w:top w:type="dxa" w:w="70"/>
              <w:left w:type="dxa" w:w="110"/>
              <w:bottom w:type="dxa" w:w="70"/>
              <w:right w:type="dxa" w:w="110"/>
            </w:tcMar>
          </w:tcPr>
          <w:p>
            <w:pPr>
              <w:spacing w:after="20"/>
            </w:pPr>
            <w:r>
              <w:rPr>
                <w:color w:val="1A1A2E"/>
                <w:sz w:val="18"/>
                <w:szCs w:val="18"/>
              </w:rPr>
              <w:t xml:space="preserve">FastAPI + Uvicorn</w:t>
            </w:r>
          </w:p>
        </w:tc>
        <w:tc>
          <w:tcPr>
            <w:tcW w:type="dxa" w:w="5060"/>
            <w:shd w:fill="F4F7FA" w:val="clear"/>
            <w:tcMar>
              <w:top w:type="dxa" w:w="70"/>
              <w:left w:type="dxa" w:w="110"/>
              <w:bottom w:type="dxa" w:w="70"/>
              <w:right w:type="dxa" w:w="110"/>
            </w:tcMar>
          </w:tcPr>
          <w:p>
            <w:pPr>
              <w:spacing w:after="20"/>
            </w:pPr>
            <w:r>
              <w:rPr>
                <w:color w:val="1A1A2E"/>
                <w:sz w:val="18"/>
                <w:szCs w:val="18"/>
              </w:rPr>
              <w:t xml:space="preserve">Required (Flask/FastAPI). Async, typed, Pydantic-native; serves both templates and JSON APIs.</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Frontend</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Jinja2 + vanilla JS</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Matches the brief’s suggested stack; minimal moving parts; tracking is pure JS regardless.</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LLM access</w:t>
            </w:r>
          </w:p>
        </w:tc>
        <w:tc>
          <w:tcPr>
            <w:tcW w:type="dxa" w:w="2400"/>
            <w:shd w:fill="F4F7FA" w:val="clear"/>
            <w:tcMar>
              <w:top w:type="dxa" w:w="70"/>
              <w:left w:type="dxa" w:w="110"/>
              <w:bottom w:type="dxa" w:w="70"/>
              <w:right w:type="dxa" w:w="110"/>
            </w:tcMar>
          </w:tcPr>
          <w:p>
            <w:pPr>
              <w:spacing w:after="20"/>
            </w:pPr>
            <w:r>
              <w:rPr>
                <w:color w:val="1A1A2E"/>
                <w:sz w:val="18"/>
                <w:szCs w:val="18"/>
              </w:rPr>
              <w:t xml:space="preserve">openai SDK → Mesh</w:t>
            </w:r>
          </w:p>
        </w:tc>
        <w:tc>
          <w:tcPr>
            <w:tcW w:type="dxa" w:w="5060"/>
            <w:shd w:fill="F4F7FA" w:val="clear"/>
            <w:tcMar>
              <w:top w:type="dxa" w:w="70"/>
              <w:left w:type="dxa" w:w="110"/>
              <w:bottom w:type="dxa" w:w="70"/>
              <w:right w:type="dxa" w:w="110"/>
            </w:tcMar>
          </w:tcPr>
          <w:p>
            <w:pPr>
              <w:spacing w:after="20"/>
            </w:pPr>
            <w:r>
              <w:rPr>
                <w:color w:val="1A1A2E"/>
                <w:sz w:val="18"/>
                <w:szCs w:val="18"/>
              </w:rPr>
              <w:t xml:space="preserve">Mandatory Mesh routing; the brief’s sanctioned pattern; behind a swappable wrapper.</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Vector DB</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Qdrant</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Explicitly allowed; strong metadata filtering; local Docker dev + Cloud free tier for deploy.</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Relational DB</w:t>
            </w:r>
          </w:p>
        </w:tc>
        <w:tc>
          <w:tcPr>
            <w:tcW w:type="dxa" w:w="2400"/>
            <w:shd w:fill="F4F7FA" w:val="clear"/>
            <w:tcMar>
              <w:top w:type="dxa" w:w="70"/>
              <w:left w:type="dxa" w:w="110"/>
              <w:bottom w:type="dxa" w:w="70"/>
              <w:right w:type="dxa" w:w="110"/>
            </w:tcMar>
          </w:tcPr>
          <w:p>
            <w:pPr>
              <w:spacing w:after="20"/>
            </w:pPr>
            <w:r>
              <w:rPr>
                <w:color w:val="1A1A2E"/>
                <w:sz w:val="18"/>
                <w:szCs w:val="18"/>
              </w:rPr>
              <w:t xml:space="preserve">SQLite → Postgres</w:t>
            </w:r>
          </w:p>
        </w:tc>
        <w:tc>
          <w:tcPr>
            <w:tcW w:type="dxa" w:w="5060"/>
            <w:shd w:fill="F4F7FA" w:val="clear"/>
            <w:tcMar>
              <w:top w:type="dxa" w:w="70"/>
              <w:left w:type="dxa" w:w="110"/>
              <w:bottom w:type="dxa" w:w="70"/>
              <w:right w:type="dxa" w:w="110"/>
            </w:tcMar>
          </w:tcPr>
          <w:p>
            <w:pPr>
              <w:spacing w:after="20"/>
            </w:pPr>
            <w:r>
              <w:rPr>
                <w:color w:val="1A1A2E"/>
                <w:sz w:val="18"/>
                <w:szCs w:val="18"/>
              </w:rPr>
              <w:t xml:space="preserve">SQLite for zero-config dev/demo; Postgres-ready via SQLAlchemy + DATABASE_URL.</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ORM</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SQLAlchemy</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DB-agnostic models; one-line switch from SQLite to Postgres.</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Agent (bonus)</w:t>
            </w:r>
          </w:p>
        </w:tc>
        <w:tc>
          <w:tcPr>
            <w:tcW w:type="dxa" w:w="2400"/>
            <w:shd w:fill="F4F7FA" w:val="clear"/>
            <w:tcMar>
              <w:top w:type="dxa" w:w="70"/>
              <w:left w:type="dxa" w:w="110"/>
              <w:bottom w:type="dxa" w:w="70"/>
              <w:right w:type="dxa" w:w="110"/>
            </w:tcMar>
          </w:tcPr>
          <w:p>
            <w:pPr>
              <w:spacing w:after="20"/>
            </w:pPr>
            <w:r>
              <w:rPr>
                <w:color w:val="1A1A2E"/>
                <w:sz w:val="18"/>
                <w:szCs w:val="18"/>
              </w:rPr>
              <w:t xml:space="preserve">LangGraph</w:t>
            </w:r>
          </w:p>
        </w:tc>
        <w:tc>
          <w:tcPr>
            <w:tcW w:type="dxa" w:w="5060"/>
            <w:shd w:fill="F4F7FA" w:val="clear"/>
            <w:tcMar>
              <w:top w:type="dxa" w:w="70"/>
              <w:left w:type="dxa" w:w="110"/>
              <w:bottom w:type="dxa" w:w="70"/>
              <w:right w:type="dxa" w:w="110"/>
            </w:tcMar>
          </w:tcPr>
          <w:p>
            <w:pPr>
              <w:spacing w:after="20"/>
            </w:pPr>
            <w:r>
              <w:rPr>
                <w:color w:val="1A1A2E"/>
                <w:sz w:val="18"/>
                <w:szCs w:val="18"/>
              </w:rPr>
              <w:t xml:space="preserve">Explicit reasoning graph — analyze, retrieve, evaluate, refine, generate.</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Scheduling (bonus)</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APScheduler</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In-process daily digest job; no extra broker/service to run for a solo build.</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Observability (bonus)</w:t>
            </w:r>
          </w:p>
        </w:tc>
        <w:tc>
          <w:tcPr>
            <w:tcW w:type="dxa" w:w="2400"/>
            <w:shd w:fill="F4F7FA" w:val="clear"/>
            <w:tcMar>
              <w:top w:type="dxa" w:w="70"/>
              <w:left w:type="dxa" w:w="110"/>
              <w:bottom w:type="dxa" w:w="70"/>
              <w:right w:type="dxa" w:w="110"/>
            </w:tcMar>
          </w:tcPr>
          <w:p>
            <w:pPr>
              <w:spacing w:after="20"/>
            </w:pPr>
            <w:r>
              <w:rPr>
                <w:color w:val="1A1A2E"/>
                <w:sz w:val="18"/>
                <w:szCs w:val="18"/>
              </w:rPr>
              <w:t xml:space="preserve">LangSmith</w:t>
            </w:r>
          </w:p>
        </w:tc>
        <w:tc>
          <w:tcPr>
            <w:tcW w:type="dxa" w:w="5060"/>
            <w:shd w:fill="F4F7FA" w:val="clear"/>
            <w:tcMar>
              <w:top w:type="dxa" w:w="70"/>
              <w:left w:type="dxa" w:w="110"/>
              <w:bottom w:type="dxa" w:w="70"/>
              <w:right w:type="dxa" w:w="110"/>
            </w:tcMar>
          </w:tcPr>
          <w:p>
            <w:pPr>
              <w:spacing w:after="20"/>
            </w:pPr>
            <w:r>
              <w:rPr>
                <w:color w:val="1A1A2E"/>
                <w:sz w:val="18"/>
                <w:szCs w:val="18"/>
              </w:rPr>
              <w:t xml:space="preserve">End-to-end tracing of the agent workflow.</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Auth</w:t>
            </w:r>
          </w:p>
        </w:tc>
        <w:tc>
          <w:tcPr>
            <w:tcW w:type="dxa" w:w="2400"/>
            <w:shd w:fill="FFFFFF" w:val="clear"/>
            <w:tcMar>
              <w:top w:type="dxa" w:w="70"/>
              <w:left w:type="dxa" w:w="110"/>
              <w:bottom w:type="dxa" w:w="70"/>
              <w:right w:type="dxa" w:w="110"/>
            </w:tcMar>
          </w:tcPr>
          <w:p>
            <w:pPr>
              <w:spacing w:after="20"/>
            </w:pPr>
            <w:r>
              <w:rPr>
                <w:color w:val="1A1A2E"/>
                <w:sz w:val="18"/>
                <w:szCs w:val="18"/>
              </w:rPr>
              <w:t xml:space="preserve">Session + password hash</w:t>
            </w:r>
          </w:p>
        </w:tc>
        <w:tc>
          <w:tcPr>
            <w:tcW w:type="dxa" w:w="5060"/>
            <w:shd w:fill="FFFFFF" w:val="clear"/>
            <w:tcMar>
              <w:top w:type="dxa" w:w="70"/>
              <w:left w:type="dxa" w:w="110"/>
              <w:bottom w:type="dxa" w:w="70"/>
              <w:right w:type="dxa" w:w="110"/>
            </w:tcMar>
          </w:tcPr>
          <w:p>
            <w:pPr>
              <w:spacing w:after="20"/>
            </w:pPr>
            <w:r>
              <w:rPr>
                <w:color w:val="1A1A2E"/>
                <w:sz w:val="18"/>
                <w:szCs w:val="18"/>
              </w:rPr>
              <w:t xml:space="preserve">Simple email/password with hashing (passlib/bcrypt); two roles.</w:t>
            </w:r>
          </w:p>
        </w:tc>
      </w:tr>
    </w:tbl>
    <w:p>
      <w:r>
        <w:br w:type="page"/>
      </w:r>
    </w:p>
    <w:p>
      <w:pPr>
        <w:pStyle w:val="Heading1"/>
        <w:spacing w:after="140" w:before="320"/>
      </w:pPr>
      <w:r>
        <w:rPr>
          <w:b/>
          <w:bCs/>
          <w:color w:val="0F4C81"/>
          <w:sz w:val="30"/>
          <w:szCs w:val="30"/>
        </w:rPr>
        <w:t xml:space="preserve">6.  Data Model</w:t>
      </w:r>
    </w:p>
    <w:p>
      <w:pPr>
        <w:pStyle w:val="Heading2"/>
        <w:spacing w:after="100" w:before="220"/>
      </w:pPr>
      <w:r>
        <w:rPr>
          <w:b/>
          <w:bCs/>
          <w:color w:val="1A1A2E"/>
          <w:sz w:val="25"/>
          <w:szCs w:val="25"/>
        </w:rPr>
        <w:t xml:space="preserve">6.1  Relational Schema</w:t>
      </w:r>
    </w:p>
    <w:p>
      <w:pPr>
        <w:spacing w:after="120" w:line="276"/>
        <w:jc w:val="both"/>
      </w:pPr>
      <w:r>
        <w:rPr>
          <w:color w:val="1A1A2E"/>
          <w:sz w:val="21"/>
          <w:szCs w:val="21"/>
        </w:rPr>
        <w:t xml:space="preserve">Four core, properly related tables. Primary keys are surrogate IDs; foreign keys enforce the relationships shown.</w:t>
      </w:r>
    </w:p>
    <w:p>
      <w:pPr>
        <w:pStyle w:val="Heading3"/>
        <w:spacing w:after="80" w:before="160"/>
      </w:pPr>
      <w:r>
        <w:rPr>
          <w:b/>
          <w:bCs/>
          <w:color w:val="1B7A6E"/>
          <w:sz w:val="22"/>
          <w:szCs w:val="22"/>
        </w:rPr>
        <w:t xml:space="preserve">users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1900"/>
        <w:gridCol w:w="1700"/>
        <w:gridCol w:w="5760"/>
      </w:tblGrid>
      <w:tr>
        <w:trPr>
          <w:tblHeader/>
        </w:trPr>
        <w:tc>
          <w:tcPr>
            <w:tcW w:type="dxa" w:w="1900"/>
            <w:shd w:fill="0F4C81" w:val="clear"/>
            <w:tcMar>
              <w:top w:type="dxa" w:w="80"/>
              <w:left w:type="dxa" w:w="110"/>
              <w:bottom w:type="dxa" w:w="80"/>
              <w:right w:type="dxa" w:w="110"/>
            </w:tcMar>
          </w:tcPr>
          <w:p>
            <w:r>
              <w:rPr>
                <w:b/>
                <w:bCs/>
                <w:color w:val="FFFFFF"/>
                <w:sz w:val="19"/>
                <w:szCs w:val="19"/>
              </w:rPr>
              <w:t xml:space="preserve">Column</w:t>
            </w:r>
          </w:p>
        </w:tc>
        <w:tc>
          <w:tcPr>
            <w:tcW w:type="dxa" w:w="1700"/>
            <w:shd w:fill="0F4C81" w:val="clear"/>
            <w:tcMar>
              <w:top w:type="dxa" w:w="80"/>
              <w:left w:type="dxa" w:w="110"/>
              <w:bottom w:type="dxa" w:w="80"/>
              <w:right w:type="dxa" w:w="110"/>
            </w:tcMar>
          </w:tcPr>
          <w:p>
            <w:r>
              <w:rPr>
                <w:b/>
                <w:bCs/>
                <w:color w:val="FFFFFF"/>
                <w:sz w:val="19"/>
                <w:szCs w:val="19"/>
              </w:rPr>
              <w:t xml:space="preserve">Type</w:t>
            </w:r>
          </w:p>
        </w:tc>
        <w:tc>
          <w:tcPr>
            <w:tcW w:type="dxa" w:w="5760"/>
            <w:shd w:fill="0F4C81" w:val="clear"/>
            <w:tcMar>
              <w:top w:type="dxa" w:w="80"/>
              <w:left w:type="dxa" w:w="110"/>
              <w:bottom w:type="dxa" w:w="80"/>
              <w:right w:type="dxa" w:w="110"/>
            </w:tcMar>
          </w:tcPr>
          <w:p>
            <w:r>
              <w:rPr>
                <w:b/>
                <w:bCs/>
                <w:color w:val="FFFFFF"/>
                <w:sz w:val="19"/>
                <w:szCs w:val="19"/>
              </w:rPr>
              <w:t xml:space="preserve">Notes</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id</w:t>
            </w:r>
          </w:p>
        </w:tc>
        <w:tc>
          <w:tcPr>
            <w:tcW w:type="dxa" w:w="1700"/>
            <w:shd w:fill="FFFFFF" w:val="clear"/>
            <w:tcMar>
              <w:top w:type="dxa" w:w="70"/>
              <w:left w:type="dxa" w:w="110"/>
              <w:bottom w:type="dxa" w:w="70"/>
              <w:right w:type="dxa" w:w="110"/>
            </w:tcMar>
          </w:tcPr>
          <w:p>
            <w:pPr>
              <w:spacing w:after="20"/>
            </w:pPr>
            <w:r>
              <w:rPr>
                <w:color w:val="1A1A2E"/>
                <w:sz w:val="18"/>
                <w:szCs w:val="18"/>
              </w:rPr>
              <w:t xml:space="preserve">int PK</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Surrogate key.</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email</w:t>
            </w:r>
          </w:p>
        </w:tc>
        <w:tc>
          <w:tcPr>
            <w:tcW w:type="dxa" w:w="1700"/>
            <w:shd w:fill="F4F7FA" w:val="clear"/>
            <w:tcMar>
              <w:top w:type="dxa" w:w="70"/>
              <w:left w:type="dxa" w:w="110"/>
              <w:bottom w:type="dxa" w:w="70"/>
              <w:right w:type="dxa" w:w="110"/>
            </w:tcMar>
          </w:tcPr>
          <w:p>
            <w:pPr>
              <w:spacing w:after="20"/>
            </w:pPr>
            <w:r>
              <w:rPr>
                <w:color w:val="1A1A2E"/>
                <w:sz w:val="18"/>
                <w:szCs w:val="18"/>
              </w:rPr>
              <w:t xml:space="preserve">str unique</w:t>
            </w:r>
          </w:p>
        </w:tc>
        <w:tc>
          <w:tcPr>
            <w:tcW w:type="dxa" w:w="5760"/>
            <w:shd w:fill="F4F7FA" w:val="clear"/>
            <w:tcMar>
              <w:top w:type="dxa" w:w="70"/>
              <w:left w:type="dxa" w:w="110"/>
              <w:bottom w:type="dxa" w:w="70"/>
              <w:right w:type="dxa" w:w="110"/>
            </w:tcMar>
          </w:tcPr>
          <w:p>
            <w:pPr>
              <w:spacing w:after="20"/>
            </w:pPr>
            <w:r>
              <w:rPr>
                <w:color w:val="1A1A2E"/>
                <w:sz w:val="18"/>
                <w:szCs w:val="18"/>
              </w:rPr>
              <w:t xml:space="preserve">Login identifier.</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password_hash</w:t>
            </w:r>
          </w:p>
        </w:tc>
        <w:tc>
          <w:tcPr>
            <w:tcW w:type="dxa" w:w="1700"/>
            <w:shd w:fill="FFFFFF" w:val="clear"/>
            <w:tcMar>
              <w:top w:type="dxa" w:w="70"/>
              <w:left w:type="dxa" w:w="110"/>
              <w:bottom w:type="dxa" w:w="70"/>
              <w:right w:type="dxa" w:w="110"/>
            </w:tcMar>
          </w:tcPr>
          <w:p>
            <w:pPr>
              <w:spacing w:after="20"/>
            </w:pPr>
            <w:r>
              <w:rPr>
                <w:color w:val="1A1A2E"/>
                <w:sz w:val="18"/>
                <w:szCs w:val="18"/>
              </w:rPr>
              <w:t xml:space="preserve">str</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Bcrypt hash — never plaintext.</w:t>
            </w:r>
          </w:p>
        </w:tc>
      </w:tr>
      <w:tr>
        <w:tc>
          <w:tcPr>
            <w:tcW w:type="dxa" w:w="1900"/>
            <w:shd w:fill="F4F7FA" w:val="clear"/>
            <w:tcMar>
              <w:top w:type="dxa" w:w="70"/>
              <w:left w:type="dxa" w:w="110"/>
              <w:bottom w:type="dxa" w:w="70"/>
              <w:right w:type="dxa" w:w="110"/>
            </w:tcMar>
          </w:tcPr>
          <w:p>
            <w:pPr>
              <w:spacing w:after="20"/>
            </w:pPr>
            <w:r>
              <w:rPr>
                <w:color w:val="1A1A2E"/>
                <w:sz w:val="18"/>
                <w:szCs w:val="18"/>
              </w:rPr>
              <w:t xml:space="preserve">role</w:t>
            </w:r>
          </w:p>
        </w:tc>
        <w:tc>
          <w:tcPr>
            <w:tcW w:type="dxa" w:w="1700"/>
            <w:shd w:fill="F4F7FA" w:val="clear"/>
            <w:tcMar>
              <w:top w:type="dxa" w:w="70"/>
              <w:left w:type="dxa" w:w="110"/>
              <w:bottom w:type="dxa" w:w="70"/>
              <w:right w:type="dxa" w:w="110"/>
            </w:tcMar>
          </w:tcPr>
          <w:p>
            <w:pPr>
              <w:spacing w:after="20"/>
            </w:pPr>
            <w:r>
              <w:rPr>
                <w:color w:val="1A1A2E"/>
                <w:sz w:val="18"/>
                <w:szCs w:val="18"/>
              </w:rPr>
              <w:t xml:space="preserve">enum</w:t>
            </w:r>
          </w:p>
        </w:tc>
        <w:tc>
          <w:tcPr>
            <w:tcW w:type="dxa" w:w="5760"/>
            <w:shd w:fill="F4F7FA" w:val="clear"/>
            <w:tcMar>
              <w:top w:type="dxa" w:w="70"/>
              <w:left w:type="dxa" w:w="110"/>
              <w:bottom w:type="dxa" w:w="70"/>
              <w:right w:type="dxa" w:w="110"/>
            </w:tcMar>
          </w:tcPr>
          <w:p>
            <w:pPr>
              <w:spacing w:after="20"/>
            </w:pPr>
            <w:r>
              <w:rPr>
                <w:color w:val="1A1A2E"/>
                <w:sz w:val="18"/>
                <w:szCs w:val="18"/>
              </w:rPr>
              <w:t xml:space="preserve">‘user’ or ‘admin’.</w:t>
            </w:r>
          </w:p>
        </w:tc>
      </w:tr>
      <w:tr>
        <w:tc>
          <w:tcPr>
            <w:tcW w:type="dxa" w:w="1900"/>
            <w:shd w:fill="FFFFFF" w:val="clear"/>
            <w:tcMar>
              <w:top w:type="dxa" w:w="70"/>
              <w:left w:type="dxa" w:w="110"/>
              <w:bottom w:type="dxa" w:w="70"/>
              <w:right w:type="dxa" w:w="110"/>
            </w:tcMar>
          </w:tcPr>
          <w:p>
            <w:pPr>
              <w:spacing w:after="20"/>
            </w:pPr>
            <w:r>
              <w:rPr>
                <w:color w:val="1A1A2E"/>
                <w:sz w:val="18"/>
                <w:szCs w:val="18"/>
              </w:rPr>
              <w:t xml:space="preserve">created_at</w:t>
            </w:r>
          </w:p>
        </w:tc>
        <w:tc>
          <w:tcPr>
            <w:tcW w:type="dxa" w:w="1700"/>
            <w:shd w:fill="FFFFFF" w:val="clear"/>
            <w:tcMar>
              <w:top w:type="dxa" w:w="70"/>
              <w:left w:type="dxa" w:w="110"/>
              <w:bottom w:type="dxa" w:w="70"/>
              <w:right w:type="dxa" w:w="110"/>
            </w:tcMar>
          </w:tcPr>
          <w:p>
            <w:pPr>
              <w:spacing w:after="20"/>
            </w:pPr>
            <w:r>
              <w:rPr>
                <w:color w:val="1A1A2E"/>
                <w:sz w:val="18"/>
                <w:szCs w:val="18"/>
              </w:rPr>
              <w:t xml:space="preserve">datetime</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Registration time.</w:t>
            </w:r>
          </w:p>
        </w:tc>
      </w:tr>
    </w:tbl>
    <w:p>
      <w:pPr>
        <w:pStyle w:val="Heading3"/>
        <w:spacing w:after="80" w:before="160"/>
      </w:pPr>
      <w:r>
        <w:rPr>
          <w:b/>
          <w:bCs/>
          <w:color w:val="1B7A6E"/>
          <w:sz w:val="22"/>
          <w:szCs w:val="22"/>
        </w:rPr>
        <w:t xml:space="preserve">products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100"/>
        <w:gridCol w:w="1500"/>
        <w:gridCol w:w="5760"/>
      </w:tblGrid>
      <w:tr>
        <w:trPr>
          <w:tblHeader/>
        </w:trPr>
        <w:tc>
          <w:tcPr>
            <w:tcW w:type="dxa" w:w="2100"/>
            <w:shd w:fill="0F4C81" w:val="clear"/>
            <w:tcMar>
              <w:top w:type="dxa" w:w="80"/>
              <w:left w:type="dxa" w:w="110"/>
              <w:bottom w:type="dxa" w:w="80"/>
              <w:right w:type="dxa" w:w="110"/>
            </w:tcMar>
          </w:tcPr>
          <w:p>
            <w:r>
              <w:rPr>
                <w:b/>
                <w:bCs/>
                <w:color w:val="FFFFFF"/>
                <w:sz w:val="19"/>
                <w:szCs w:val="19"/>
              </w:rPr>
              <w:t xml:space="preserve">Column</w:t>
            </w:r>
          </w:p>
        </w:tc>
        <w:tc>
          <w:tcPr>
            <w:tcW w:type="dxa" w:w="1500"/>
            <w:shd w:fill="0F4C81" w:val="clear"/>
            <w:tcMar>
              <w:top w:type="dxa" w:w="80"/>
              <w:left w:type="dxa" w:w="110"/>
              <w:bottom w:type="dxa" w:w="80"/>
              <w:right w:type="dxa" w:w="110"/>
            </w:tcMar>
          </w:tcPr>
          <w:p>
            <w:r>
              <w:rPr>
                <w:b/>
                <w:bCs/>
                <w:color w:val="FFFFFF"/>
                <w:sz w:val="19"/>
                <w:szCs w:val="19"/>
              </w:rPr>
              <w:t xml:space="preserve">Type</w:t>
            </w:r>
          </w:p>
        </w:tc>
        <w:tc>
          <w:tcPr>
            <w:tcW w:type="dxa" w:w="5760"/>
            <w:shd w:fill="0F4C81" w:val="clear"/>
            <w:tcMar>
              <w:top w:type="dxa" w:w="80"/>
              <w:left w:type="dxa" w:w="110"/>
              <w:bottom w:type="dxa" w:w="80"/>
              <w:right w:type="dxa" w:w="110"/>
            </w:tcMar>
          </w:tcPr>
          <w:p>
            <w:r>
              <w:rPr>
                <w:b/>
                <w:bCs/>
                <w:color w:val="FFFFFF"/>
                <w:sz w:val="19"/>
                <w:szCs w:val="19"/>
              </w:rPr>
              <w:t xml:space="preserve">Notes</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id</w:t>
            </w:r>
          </w:p>
        </w:tc>
        <w:tc>
          <w:tcPr>
            <w:tcW w:type="dxa" w:w="1500"/>
            <w:shd w:fill="FFFFFF" w:val="clear"/>
            <w:tcMar>
              <w:top w:type="dxa" w:w="70"/>
              <w:left w:type="dxa" w:w="110"/>
              <w:bottom w:type="dxa" w:w="70"/>
              <w:right w:type="dxa" w:w="110"/>
            </w:tcMar>
          </w:tcPr>
          <w:p>
            <w:pPr>
              <w:spacing w:after="20"/>
            </w:pPr>
            <w:r>
              <w:rPr>
                <w:color w:val="1A1A2E"/>
                <w:sz w:val="18"/>
                <w:szCs w:val="18"/>
              </w:rPr>
              <w:t xml:space="preserve">int PK</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Also used as the Qdrant point ID for sync.</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title</w:t>
            </w:r>
          </w:p>
        </w:tc>
        <w:tc>
          <w:tcPr>
            <w:tcW w:type="dxa" w:w="1500"/>
            <w:shd w:fill="F4F7FA" w:val="clear"/>
            <w:tcMar>
              <w:top w:type="dxa" w:w="70"/>
              <w:left w:type="dxa" w:w="110"/>
              <w:bottom w:type="dxa" w:w="70"/>
              <w:right w:type="dxa" w:w="110"/>
            </w:tcMar>
          </w:tcPr>
          <w:p>
            <w:pPr>
              <w:spacing w:after="20"/>
            </w:pPr>
            <w:r>
              <w:rPr>
                <w:color w:val="1A1A2E"/>
                <w:sz w:val="18"/>
                <w:szCs w:val="18"/>
              </w:rPr>
              <w:t xml:space="preserve">str</w:t>
            </w:r>
          </w:p>
        </w:tc>
        <w:tc>
          <w:tcPr>
            <w:tcW w:type="dxa" w:w="5760"/>
            <w:shd w:fill="F4F7FA" w:val="clear"/>
            <w:tcMar>
              <w:top w:type="dxa" w:w="70"/>
              <w:left w:type="dxa" w:w="110"/>
              <w:bottom w:type="dxa" w:w="70"/>
              <w:right w:type="dxa" w:w="110"/>
            </w:tcMar>
          </w:tcPr>
          <w:p>
            <w:pPr>
              <w:spacing w:after="20"/>
            </w:pPr>
            <w:r>
              <w:rPr>
                <w:color w:val="1A1A2E"/>
                <w:sz w:val="18"/>
                <w:szCs w:val="18"/>
              </w:rPr>
              <w:t xml:space="preserve">Course/product title.</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description</w:t>
            </w:r>
          </w:p>
        </w:tc>
        <w:tc>
          <w:tcPr>
            <w:tcW w:type="dxa" w:w="1500"/>
            <w:shd w:fill="FFFFFF" w:val="clear"/>
            <w:tcMar>
              <w:top w:type="dxa" w:w="70"/>
              <w:left w:type="dxa" w:w="110"/>
              <w:bottom w:type="dxa" w:w="70"/>
              <w:right w:type="dxa" w:w="110"/>
            </w:tcMar>
          </w:tcPr>
          <w:p>
            <w:pPr>
              <w:spacing w:after="20"/>
            </w:pPr>
            <w:r>
              <w:rPr>
                <w:color w:val="1A1A2E"/>
                <w:sz w:val="18"/>
                <w:szCs w:val="18"/>
              </w:rPr>
              <w:t xml:space="preserve">text</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Rich text — embedded for semantic search.</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category</w:t>
            </w:r>
          </w:p>
        </w:tc>
        <w:tc>
          <w:tcPr>
            <w:tcW w:type="dxa" w:w="1500"/>
            <w:shd w:fill="F4F7FA" w:val="clear"/>
            <w:tcMar>
              <w:top w:type="dxa" w:w="70"/>
              <w:left w:type="dxa" w:w="110"/>
              <w:bottom w:type="dxa" w:w="70"/>
              <w:right w:type="dxa" w:w="110"/>
            </w:tcMar>
          </w:tcPr>
          <w:p>
            <w:pPr>
              <w:spacing w:after="20"/>
            </w:pPr>
            <w:r>
              <w:rPr>
                <w:color w:val="1A1A2E"/>
                <w:sz w:val="18"/>
                <w:szCs w:val="18"/>
              </w:rPr>
              <w:t xml:space="preserve">str</w:t>
            </w:r>
          </w:p>
        </w:tc>
        <w:tc>
          <w:tcPr>
            <w:tcW w:type="dxa" w:w="5760"/>
            <w:shd w:fill="F4F7FA" w:val="clear"/>
            <w:tcMar>
              <w:top w:type="dxa" w:w="70"/>
              <w:left w:type="dxa" w:w="110"/>
              <w:bottom w:type="dxa" w:w="70"/>
              <w:right w:type="dxa" w:w="110"/>
            </w:tcMar>
          </w:tcPr>
          <w:p>
            <w:pPr>
              <w:spacing w:after="20"/>
            </w:pPr>
            <w:r>
              <w:rPr>
                <w:color w:val="1A1A2E"/>
                <w:sz w:val="18"/>
                <w:szCs w:val="18"/>
              </w:rPr>
              <w:t xml:space="preserve">Used for metadata filtering in retrieval.</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price</w:t>
            </w:r>
          </w:p>
        </w:tc>
        <w:tc>
          <w:tcPr>
            <w:tcW w:type="dxa" w:w="1500"/>
            <w:shd w:fill="FFFFFF" w:val="clear"/>
            <w:tcMar>
              <w:top w:type="dxa" w:w="70"/>
              <w:left w:type="dxa" w:w="110"/>
              <w:bottom w:type="dxa" w:w="70"/>
              <w:right w:type="dxa" w:w="110"/>
            </w:tcMar>
          </w:tcPr>
          <w:p>
            <w:pPr>
              <w:spacing w:after="20"/>
            </w:pPr>
            <w:r>
              <w:rPr>
                <w:color w:val="1A1A2E"/>
                <w:sz w:val="18"/>
                <w:szCs w:val="18"/>
              </w:rPr>
              <w:t xml:space="preserve">float</w:t>
            </w:r>
          </w:p>
        </w:tc>
        <w:tc>
          <w:tcPr>
            <w:tcW w:type="dxa" w:w="5760"/>
            <w:shd w:fill="FFFFFF" w:val="clear"/>
            <w:tcMar>
              <w:top w:type="dxa" w:w="70"/>
              <w:left w:type="dxa" w:w="110"/>
              <w:bottom w:type="dxa" w:w="70"/>
              <w:right w:type="dxa" w:w="110"/>
            </w:tcMar>
          </w:tcPr>
          <w:p>
            <w:pPr>
              <w:spacing w:after="20"/>
            </w:pPr>
            <w:r>
              <w:rPr>
                <w:color w:val="1A1A2E"/>
                <w:sz w:val="18"/>
                <w:szCs w:val="18"/>
              </w:rPr>
              <w:t xml:space="preserve">Display + optional filtering.</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created_at / updated_at</w:t>
            </w:r>
          </w:p>
        </w:tc>
        <w:tc>
          <w:tcPr>
            <w:tcW w:type="dxa" w:w="1500"/>
            <w:shd w:fill="F4F7FA" w:val="clear"/>
            <w:tcMar>
              <w:top w:type="dxa" w:w="70"/>
              <w:left w:type="dxa" w:w="110"/>
              <w:bottom w:type="dxa" w:w="70"/>
              <w:right w:type="dxa" w:w="110"/>
            </w:tcMar>
          </w:tcPr>
          <w:p>
            <w:pPr>
              <w:spacing w:after="20"/>
            </w:pPr>
            <w:r>
              <w:rPr>
                <w:color w:val="1A1A2E"/>
                <w:sz w:val="18"/>
                <w:szCs w:val="18"/>
              </w:rPr>
              <w:t xml:space="preserve">datetime</w:t>
            </w:r>
          </w:p>
        </w:tc>
        <w:tc>
          <w:tcPr>
            <w:tcW w:type="dxa" w:w="5760"/>
            <w:shd w:fill="F4F7FA" w:val="clear"/>
            <w:tcMar>
              <w:top w:type="dxa" w:w="70"/>
              <w:left w:type="dxa" w:w="110"/>
              <w:bottom w:type="dxa" w:w="70"/>
              <w:right w:type="dxa" w:w="110"/>
            </w:tcMar>
          </w:tcPr>
          <w:p>
            <w:pPr>
              <w:spacing w:after="20"/>
            </w:pPr>
            <w:r>
              <w:rPr>
                <w:color w:val="1A1A2E"/>
                <w:sz w:val="18"/>
                <w:szCs w:val="18"/>
              </w:rPr>
              <w:t xml:space="preserve">Sync bookkeeping.</w:t>
            </w:r>
          </w:p>
        </w:tc>
      </w:tr>
    </w:tbl>
    <w:p>
      <w:pPr>
        <w:pStyle w:val="Heading3"/>
        <w:spacing w:after="80" w:before="160"/>
      </w:pPr>
      <w:r>
        <w:rPr>
          <w:b/>
          <w:bCs/>
          <w:color w:val="1B7A6E"/>
          <w:sz w:val="22"/>
          <w:szCs w:val="22"/>
        </w:rPr>
        <w:t xml:space="preserve">events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100"/>
        <w:gridCol w:w="2000"/>
        <w:gridCol w:w="5260"/>
      </w:tblGrid>
      <w:tr>
        <w:trPr>
          <w:tblHeader/>
        </w:trPr>
        <w:tc>
          <w:tcPr>
            <w:tcW w:type="dxa" w:w="2100"/>
            <w:shd w:fill="0F4C81" w:val="clear"/>
            <w:tcMar>
              <w:top w:type="dxa" w:w="80"/>
              <w:left w:type="dxa" w:w="110"/>
              <w:bottom w:type="dxa" w:w="80"/>
              <w:right w:type="dxa" w:w="110"/>
            </w:tcMar>
          </w:tcPr>
          <w:p>
            <w:r>
              <w:rPr>
                <w:b/>
                <w:bCs/>
                <w:color w:val="FFFFFF"/>
                <w:sz w:val="19"/>
                <w:szCs w:val="19"/>
              </w:rPr>
              <w:t xml:space="preserve">Column</w:t>
            </w:r>
          </w:p>
        </w:tc>
        <w:tc>
          <w:tcPr>
            <w:tcW w:type="dxa" w:w="2000"/>
            <w:shd w:fill="0F4C81" w:val="clear"/>
            <w:tcMar>
              <w:top w:type="dxa" w:w="80"/>
              <w:left w:type="dxa" w:w="110"/>
              <w:bottom w:type="dxa" w:w="80"/>
              <w:right w:type="dxa" w:w="110"/>
            </w:tcMar>
          </w:tcPr>
          <w:p>
            <w:r>
              <w:rPr>
                <w:b/>
                <w:bCs/>
                <w:color w:val="FFFFFF"/>
                <w:sz w:val="19"/>
                <w:szCs w:val="19"/>
              </w:rPr>
              <w:t xml:space="preserve">Type</w:t>
            </w:r>
          </w:p>
        </w:tc>
        <w:tc>
          <w:tcPr>
            <w:tcW w:type="dxa" w:w="5260"/>
            <w:shd w:fill="0F4C81" w:val="clear"/>
            <w:tcMar>
              <w:top w:type="dxa" w:w="80"/>
              <w:left w:type="dxa" w:w="110"/>
              <w:bottom w:type="dxa" w:w="80"/>
              <w:right w:type="dxa" w:w="110"/>
            </w:tcMar>
          </w:tcPr>
          <w:p>
            <w:r>
              <w:rPr>
                <w:b/>
                <w:bCs/>
                <w:color w:val="FFFFFF"/>
                <w:sz w:val="19"/>
                <w:szCs w:val="19"/>
              </w:rPr>
              <w:t xml:space="preserve">Notes</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id</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int PK</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Surrogate key.</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user_id</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int FK → users</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Who.</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event_type</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enum</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view / search / click / dwell (what).</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product_id</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int FK → products, null</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Target product where applicable.</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metadata</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json</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e.g. search query text, dwell seconds.</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created_at</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datetime</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When — indexed for time-window queries.</w:t>
            </w:r>
          </w:p>
        </w:tc>
      </w:tr>
    </w:tbl>
    <w:p>
      <w:pPr>
        <w:pStyle w:val="Heading3"/>
        <w:spacing w:after="80" w:before="160"/>
      </w:pPr>
      <w:r>
        <w:rPr>
          <w:b/>
          <w:bCs/>
          <w:color w:val="1B7A6E"/>
          <w:sz w:val="22"/>
          <w:szCs w:val="22"/>
        </w:rPr>
        <w:t xml:space="preserve">recommendations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100"/>
        <w:gridCol w:w="2000"/>
        <w:gridCol w:w="5260"/>
      </w:tblGrid>
      <w:tr>
        <w:trPr>
          <w:tblHeader/>
        </w:trPr>
        <w:tc>
          <w:tcPr>
            <w:tcW w:type="dxa" w:w="2100"/>
            <w:shd w:fill="0F4C81" w:val="clear"/>
            <w:tcMar>
              <w:top w:type="dxa" w:w="80"/>
              <w:left w:type="dxa" w:w="110"/>
              <w:bottom w:type="dxa" w:w="80"/>
              <w:right w:type="dxa" w:w="110"/>
            </w:tcMar>
          </w:tcPr>
          <w:p>
            <w:r>
              <w:rPr>
                <w:b/>
                <w:bCs/>
                <w:color w:val="FFFFFF"/>
                <w:sz w:val="19"/>
                <w:szCs w:val="19"/>
              </w:rPr>
              <w:t xml:space="preserve">Column</w:t>
            </w:r>
          </w:p>
        </w:tc>
        <w:tc>
          <w:tcPr>
            <w:tcW w:type="dxa" w:w="2000"/>
            <w:shd w:fill="0F4C81" w:val="clear"/>
            <w:tcMar>
              <w:top w:type="dxa" w:w="80"/>
              <w:left w:type="dxa" w:w="110"/>
              <w:bottom w:type="dxa" w:w="80"/>
              <w:right w:type="dxa" w:w="110"/>
            </w:tcMar>
          </w:tcPr>
          <w:p>
            <w:r>
              <w:rPr>
                <w:b/>
                <w:bCs/>
                <w:color w:val="FFFFFF"/>
                <w:sz w:val="19"/>
                <w:szCs w:val="19"/>
              </w:rPr>
              <w:t xml:space="preserve">Type</w:t>
            </w:r>
          </w:p>
        </w:tc>
        <w:tc>
          <w:tcPr>
            <w:tcW w:type="dxa" w:w="5260"/>
            <w:shd w:fill="0F4C81" w:val="clear"/>
            <w:tcMar>
              <w:top w:type="dxa" w:w="80"/>
              <w:left w:type="dxa" w:w="110"/>
              <w:bottom w:type="dxa" w:w="80"/>
              <w:right w:type="dxa" w:w="110"/>
            </w:tcMar>
          </w:tcPr>
          <w:p>
            <w:r>
              <w:rPr>
                <w:b/>
                <w:bCs/>
                <w:color w:val="FFFFFF"/>
                <w:sz w:val="19"/>
                <w:szCs w:val="19"/>
              </w:rPr>
              <w:t xml:space="preserve">Notes</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id</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int PK</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Surrogate key.</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user_id</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int FK → users</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Owner.</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narrative</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text</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AI-generated persuasive message.</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product_ids</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json</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Ordered list of recommended product IDs (grounded).</w:t>
            </w:r>
          </w:p>
        </w:tc>
      </w:tr>
      <w:tr>
        <w:tc>
          <w:tcPr>
            <w:tcW w:type="dxa" w:w="2100"/>
            <w:shd w:fill="FFFFFF" w:val="clear"/>
            <w:tcMar>
              <w:top w:type="dxa" w:w="70"/>
              <w:left w:type="dxa" w:w="110"/>
              <w:bottom w:type="dxa" w:w="70"/>
              <w:right w:type="dxa" w:w="110"/>
            </w:tcMar>
          </w:tcPr>
          <w:p>
            <w:pPr>
              <w:spacing w:after="20"/>
            </w:pPr>
            <w:r>
              <w:rPr>
                <w:color w:val="1A1A2E"/>
                <w:sz w:val="18"/>
                <w:szCs w:val="18"/>
              </w:rPr>
              <w:t xml:space="preserve">trigger_reason</w:t>
            </w:r>
          </w:p>
        </w:tc>
        <w:tc>
          <w:tcPr>
            <w:tcW w:type="dxa" w:w="2000"/>
            <w:shd w:fill="FFFFFF" w:val="clear"/>
            <w:tcMar>
              <w:top w:type="dxa" w:w="70"/>
              <w:left w:type="dxa" w:w="110"/>
              <w:bottom w:type="dxa" w:w="70"/>
              <w:right w:type="dxa" w:w="110"/>
            </w:tcMar>
          </w:tcPr>
          <w:p>
            <w:pPr>
              <w:spacing w:after="20"/>
            </w:pPr>
            <w:r>
              <w:rPr>
                <w:color w:val="1A1A2E"/>
                <w:sz w:val="18"/>
                <w:szCs w:val="18"/>
              </w:rPr>
              <w:t xml:space="preserve">str</w:t>
            </w:r>
          </w:p>
        </w:tc>
        <w:tc>
          <w:tcPr>
            <w:tcW w:type="dxa" w:w="5260"/>
            <w:shd w:fill="FFFFFF" w:val="clear"/>
            <w:tcMar>
              <w:top w:type="dxa" w:w="70"/>
              <w:left w:type="dxa" w:w="110"/>
              <w:bottom w:type="dxa" w:w="70"/>
              <w:right w:type="dxa" w:w="110"/>
            </w:tcMar>
          </w:tcPr>
          <w:p>
            <w:pPr>
              <w:spacing w:after="20"/>
            </w:pPr>
            <w:r>
              <w:rPr>
                <w:color w:val="1A1A2E"/>
                <w:sz w:val="18"/>
                <w:szCs w:val="18"/>
              </w:rPr>
              <w:t xml:space="preserve">‘threshold’ or ‘manual’ — for observability.</w:t>
            </w:r>
          </w:p>
        </w:tc>
      </w:tr>
      <w:tr>
        <w:tc>
          <w:tcPr>
            <w:tcW w:type="dxa" w:w="2100"/>
            <w:shd w:fill="F4F7FA" w:val="clear"/>
            <w:tcMar>
              <w:top w:type="dxa" w:w="70"/>
              <w:left w:type="dxa" w:w="110"/>
              <w:bottom w:type="dxa" w:w="70"/>
              <w:right w:type="dxa" w:w="110"/>
            </w:tcMar>
          </w:tcPr>
          <w:p>
            <w:pPr>
              <w:spacing w:after="20"/>
            </w:pPr>
            <w:r>
              <w:rPr>
                <w:color w:val="1A1A2E"/>
                <w:sz w:val="18"/>
                <w:szCs w:val="18"/>
              </w:rPr>
              <w:t xml:space="preserve">created_at</w:t>
            </w:r>
          </w:p>
        </w:tc>
        <w:tc>
          <w:tcPr>
            <w:tcW w:type="dxa" w:w="2000"/>
            <w:shd w:fill="F4F7FA" w:val="clear"/>
            <w:tcMar>
              <w:top w:type="dxa" w:w="70"/>
              <w:left w:type="dxa" w:w="110"/>
              <w:bottom w:type="dxa" w:w="70"/>
              <w:right w:type="dxa" w:w="110"/>
            </w:tcMar>
          </w:tcPr>
          <w:p>
            <w:pPr>
              <w:spacing w:after="20"/>
            </w:pPr>
            <w:r>
              <w:rPr>
                <w:color w:val="1A1A2E"/>
                <w:sz w:val="18"/>
                <w:szCs w:val="18"/>
              </w:rPr>
              <w:t xml:space="preserve">datetime</w:t>
            </w:r>
          </w:p>
        </w:tc>
        <w:tc>
          <w:tcPr>
            <w:tcW w:type="dxa" w:w="5260"/>
            <w:shd w:fill="F4F7FA" w:val="clear"/>
            <w:tcMar>
              <w:top w:type="dxa" w:w="70"/>
              <w:left w:type="dxa" w:w="110"/>
              <w:bottom w:type="dxa" w:w="70"/>
              <w:right w:type="dxa" w:w="110"/>
            </w:tcMar>
          </w:tcPr>
          <w:p>
            <w:pPr>
              <w:spacing w:after="20"/>
            </w:pPr>
            <w:r>
              <w:rPr>
                <w:color w:val="1A1A2E"/>
                <w:sz w:val="18"/>
                <w:szCs w:val="18"/>
              </w:rPr>
              <w:t xml:space="preserve">Supports ‘latest recommendation’ + refresh history.</w:t>
            </w:r>
          </w:p>
        </w:tc>
      </w:tr>
    </w:tbl>
    <w:p>
      <w:pPr>
        <w:pStyle w:val="Heading2"/>
        <w:spacing w:after="100" w:before="220"/>
      </w:pPr>
      <w:r>
        <w:rPr>
          <w:b/>
          <w:bCs/>
          <w:color w:val="1A1A2E"/>
          <w:sz w:val="25"/>
          <w:szCs w:val="25"/>
        </w:rPr>
        <w:t xml:space="preserve">6.2  Vector Store (Qdrant)</w:t>
      </w:r>
    </w:p>
    <w:p>
      <w:pPr>
        <w:pStyle w:val="ListParagraph"/>
        <w:numPr>
          <w:ilvl w:val="0"/>
          <w:numId w:val="2"/>
        </w:numPr>
        <w:spacing w:after="70" w:line="264"/>
      </w:pPr>
      <w:r>
        <w:rPr>
          <w:b/>
          <w:bCs/>
          <w:color w:val="1A1A2E"/>
          <w:sz w:val="21"/>
          <w:szCs w:val="21"/>
        </w:rPr>
        <w:t xml:space="preserve">Collection: </w:t>
      </w:r>
      <w:r>
        <w:rPr>
          <w:color w:val="1A1A2E"/>
          <w:sz w:val="21"/>
          <w:szCs w:val="21"/>
        </w:rPr>
        <w:t xml:space="preserve">products — one point per catalog product.</w:t>
      </w:r>
    </w:p>
    <w:p>
      <w:pPr>
        <w:pStyle w:val="ListParagraph"/>
        <w:numPr>
          <w:ilvl w:val="0"/>
          <w:numId w:val="2"/>
        </w:numPr>
        <w:spacing w:after="70" w:line="264"/>
      </w:pPr>
      <w:r>
        <w:rPr>
          <w:b/>
          <w:bCs/>
          <w:color w:val="1A1A2E"/>
          <w:sz w:val="21"/>
          <w:szCs w:val="21"/>
        </w:rPr>
        <w:t xml:space="preserve">Point ID: </w:t>
      </w:r>
      <w:r>
        <w:rPr>
          <w:color w:val="1A1A2E"/>
          <w:sz w:val="21"/>
          <w:szCs w:val="21"/>
        </w:rPr>
        <w:t xml:space="preserve">the relational product.id, so the two stores are trivially kept in sync.</w:t>
      </w:r>
    </w:p>
    <w:p>
      <w:pPr>
        <w:pStyle w:val="ListParagraph"/>
        <w:numPr>
          <w:ilvl w:val="0"/>
          <w:numId w:val="2"/>
        </w:numPr>
        <w:spacing w:after="70" w:line="264"/>
      </w:pPr>
      <w:r>
        <w:rPr>
          <w:b/>
          <w:bCs/>
          <w:color w:val="1A1A2E"/>
          <w:sz w:val="21"/>
          <w:szCs w:val="21"/>
        </w:rPr>
        <w:t xml:space="preserve">Vector: </w:t>
      </w:r>
      <w:r>
        <w:rPr>
          <w:color w:val="1A1A2E"/>
          <w:sz w:val="21"/>
          <w:szCs w:val="21"/>
        </w:rPr>
        <w:t xml:space="preserve">embedding of title + description, produced via Mesh embeddings.</w:t>
      </w:r>
    </w:p>
    <w:p>
      <w:pPr>
        <w:pStyle w:val="ListParagraph"/>
        <w:numPr>
          <w:ilvl w:val="0"/>
          <w:numId w:val="2"/>
        </w:numPr>
        <w:spacing w:after="70" w:line="264"/>
      </w:pPr>
      <w:r>
        <w:rPr>
          <w:b/>
          <w:bCs/>
          <w:color w:val="1A1A2E"/>
          <w:sz w:val="21"/>
          <w:szCs w:val="21"/>
        </w:rPr>
        <w:t xml:space="preserve">Payload: </w:t>
      </w:r>
      <w:r>
        <w:rPr>
          <w:color w:val="1A1A2E"/>
          <w:sz w:val="21"/>
          <w:szCs w:val="21"/>
        </w:rPr>
        <w:t xml:space="preserve">title, category, price — enabling metadata-filtered retrieval (bonus).</w:t>
      </w:r>
    </w:p>
    <w:p>
      <w:r>
        <w:br w:type="page"/>
      </w:r>
    </w:p>
    <w:p>
      <w:pPr>
        <w:pStyle w:val="Heading1"/>
        <w:spacing w:after="140" w:before="320"/>
      </w:pPr>
      <w:r>
        <w:rPr>
          <w:b/>
          <w:bCs/>
          <w:color w:val="0F4C81"/>
          <w:sz w:val="30"/>
          <w:szCs w:val="30"/>
        </w:rPr>
        <w:t xml:space="preserve">7.  Functional Requirements</w:t>
      </w:r>
    </w:p>
    <w:p>
      <w:pPr>
        <w:pStyle w:val="Heading2"/>
        <w:spacing w:after="100" w:before="220"/>
      </w:pPr>
      <w:r>
        <w:rPr>
          <w:b/>
          <w:bCs/>
          <w:color w:val="1A1A2E"/>
          <w:sz w:val="25"/>
          <w:szCs w:val="25"/>
        </w:rPr>
        <w:t xml:space="preserve">7.1  Authentication &amp; Roles (FR-1)</w:t>
      </w:r>
    </w:p>
    <w:p>
      <w:pPr>
        <w:pStyle w:val="ListParagraph"/>
        <w:numPr>
          <w:ilvl w:val="0"/>
          <w:numId w:val="2"/>
        </w:numPr>
        <w:spacing w:after="70" w:line="264"/>
      </w:pPr>
      <w:r>
        <w:rPr>
          <w:b/>
          <w:bCs/>
          <w:color w:val="1A1A2E"/>
          <w:sz w:val="21"/>
          <w:szCs w:val="21"/>
        </w:rPr>
        <w:t xml:space="preserve">FR-1.1  </w:t>
      </w:r>
      <w:r>
        <w:rPr>
          <w:color w:val="1A1A2E"/>
          <w:sz w:val="21"/>
          <w:szCs w:val="21"/>
        </w:rPr>
        <w:t xml:space="preserve">Users register and log in with email + password; passwords are stored as bcrypt hashes.</w:t>
      </w:r>
    </w:p>
    <w:p>
      <w:pPr>
        <w:pStyle w:val="ListParagraph"/>
        <w:numPr>
          <w:ilvl w:val="0"/>
          <w:numId w:val="2"/>
        </w:numPr>
        <w:spacing w:after="70" w:line="264"/>
      </w:pPr>
      <w:r>
        <w:rPr>
          <w:b/>
          <w:bCs/>
          <w:color w:val="1A1A2E"/>
          <w:sz w:val="21"/>
          <w:szCs w:val="21"/>
        </w:rPr>
        <w:t xml:space="preserve">FR-1.2  </w:t>
      </w:r>
      <w:r>
        <w:rPr>
          <w:color w:val="1A1A2E"/>
          <w:sz w:val="21"/>
          <w:szCs w:val="21"/>
        </w:rPr>
        <w:t xml:space="preserve">Two roles exist: regular user and admin, enforced on protected routes.</w:t>
      </w:r>
    </w:p>
    <w:p>
      <w:pPr>
        <w:pStyle w:val="ListParagraph"/>
        <w:numPr>
          <w:ilvl w:val="0"/>
          <w:numId w:val="2"/>
        </w:numPr>
        <w:spacing w:after="70" w:line="264"/>
      </w:pPr>
      <w:r>
        <w:rPr>
          <w:b/>
          <w:bCs/>
          <w:color w:val="1A1A2E"/>
          <w:sz w:val="21"/>
          <w:szCs w:val="21"/>
        </w:rPr>
        <w:t xml:space="preserve">FR-1.3  </w:t>
      </w:r>
      <w:r>
        <w:rPr>
          <w:color w:val="1A1A2E"/>
          <w:sz w:val="21"/>
          <w:szCs w:val="21"/>
        </w:rPr>
        <w:t xml:space="preserve">Sessions keep a user authenticated across page loads; logout ends the session.</w:t>
      </w:r>
    </w:p>
    <w:p>
      <w:pPr>
        <w:pStyle w:val="Heading2"/>
        <w:spacing w:after="100" w:before="220"/>
      </w:pPr>
      <w:r>
        <w:rPr>
          <w:b/>
          <w:bCs/>
          <w:color w:val="1A1A2E"/>
          <w:sz w:val="25"/>
          <w:szCs w:val="25"/>
        </w:rPr>
        <w:t xml:space="preserve">7.2  Catalog &amp; Admin Product Management with Dual-Write (FR-2)</w:t>
      </w:r>
    </w:p>
    <w:p>
      <w:pPr>
        <w:pStyle w:val="ListParagraph"/>
        <w:numPr>
          <w:ilvl w:val="0"/>
          <w:numId w:val="2"/>
        </w:numPr>
        <w:spacing w:after="70" w:line="264"/>
      </w:pPr>
      <w:r>
        <w:rPr>
          <w:b/>
          <w:bCs/>
          <w:color w:val="1A1A2E"/>
          <w:sz w:val="21"/>
          <w:szCs w:val="21"/>
        </w:rPr>
        <w:t xml:space="preserve">FR-2.1  </w:t>
      </w:r>
      <w:r>
        <w:rPr>
          <w:color w:val="1A1A2E"/>
          <w:sz w:val="21"/>
          <w:szCs w:val="21"/>
        </w:rPr>
        <w:t xml:space="preserve">Any user can browse, search, and open product detail pages.</w:t>
      </w:r>
    </w:p>
    <w:p>
      <w:pPr>
        <w:pStyle w:val="ListParagraph"/>
        <w:numPr>
          <w:ilvl w:val="0"/>
          <w:numId w:val="2"/>
        </w:numPr>
        <w:spacing w:after="70" w:line="264"/>
      </w:pPr>
      <w:r>
        <w:rPr>
          <w:b/>
          <w:bCs/>
          <w:color w:val="1A1A2E"/>
          <w:sz w:val="21"/>
          <w:szCs w:val="21"/>
        </w:rPr>
        <w:t xml:space="preserve">FR-2.2  </w:t>
      </w:r>
      <w:r>
        <w:rPr>
          <w:color w:val="1A1A2E"/>
          <w:sz w:val="21"/>
          <w:szCs w:val="21"/>
        </w:rPr>
        <w:t xml:space="preserve">Admins can create, edit, and delete products (title, description, category, price).</w:t>
      </w:r>
    </w:p>
    <w:p>
      <w:pPr>
        <w:pStyle w:val="ListParagraph"/>
        <w:numPr>
          <w:ilvl w:val="0"/>
          <w:numId w:val="2"/>
        </w:numPr>
        <w:spacing w:after="70" w:line="264"/>
      </w:pPr>
      <w:r>
        <w:rPr>
          <w:b/>
          <w:bCs/>
          <w:color w:val="1A1A2E"/>
          <w:sz w:val="21"/>
          <w:szCs w:val="21"/>
        </w:rPr>
        <w:t xml:space="preserve">FR-2.3  </w:t>
      </w:r>
      <w:r>
        <w:rPr>
          <w:b/>
          <w:bCs/>
          <w:color w:val="1A1A2E"/>
          <w:sz w:val="21"/>
          <w:szCs w:val="21"/>
        </w:rPr>
        <w:t xml:space="preserve">Dual-write: </w:t>
      </w:r>
      <w:r>
        <w:rPr>
          <w:color w:val="1A1A2E"/>
          <w:sz w:val="21"/>
          <w:szCs w:val="21"/>
        </w:rPr>
        <w:t xml:space="preserve">creating a product writes it to the relational DB and upserts its embedding into Qdrant in the same operation.</w:t>
      </w:r>
    </w:p>
    <w:p>
      <w:pPr>
        <w:pStyle w:val="ListParagraph"/>
        <w:numPr>
          <w:ilvl w:val="0"/>
          <w:numId w:val="2"/>
        </w:numPr>
        <w:spacing w:after="70" w:line="264"/>
      </w:pPr>
      <w:r>
        <w:rPr>
          <w:b/>
          <w:bCs/>
          <w:color w:val="1A1A2E"/>
          <w:sz w:val="21"/>
          <w:szCs w:val="21"/>
        </w:rPr>
        <w:t xml:space="preserve">FR-2.4  </w:t>
      </w:r>
      <w:r>
        <w:rPr>
          <w:color w:val="1A1A2E"/>
          <w:sz w:val="21"/>
          <w:szCs w:val="21"/>
        </w:rPr>
        <w:t xml:space="preserve">Editing a product updates both stores; deleting removes it from both. The stores must never drift out of sync.</w:t>
      </w:r>
    </w:p>
    <w:p>
      <w:pPr>
        <w:pStyle w:val="ListParagraph"/>
        <w:numPr>
          <w:ilvl w:val="0"/>
          <w:numId w:val="2"/>
        </w:numPr>
        <w:spacing w:after="70" w:line="264"/>
      </w:pPr>
      <w:r>
        <w:rPr>
          <w:b/>
          <w:bCs/>
          <w:color w:val="1A1A2E"/>
          <w:sz w:val="21"/>
          <w:szCs w:val="21"/>
        </w:rPr>
        <w:t xml:space="preserve">FR-2.5  </w:t>
      </w:r>
      <w:r>
        <w:rPr>
          <w:color w:val="1A1A2E"/>
          <w:sz w:val="21"/>
          <w:szCs w:val="21"/>
        </w:rPr>
        <w:t xml:space="preserve">Embedding text is generated via Mesh; if the Mesh call fails, the write is handled transactionally so the two stores do not diverge.</w:t>
      </w:r>
    </w:p>
    <w:p>
      <w:pPr>
        <w:pStyle w:val="Heading2"/>
        <w:spacing w:after="100" w:before="220"/>
      </w:pPr>
      <w:r>
        <w:rPr>
          <w:b/>
          <w:bCs/>
          <w:color w:val="1A1A2E"/>
          <w:sz w:val="25"/>
          <w:szCs w:val="25"/>
        </w:rPr>
        <w:t xml:space="preserve">7.3  Behavioral Event Tracking (FR-3)</w:t>
      </w:r>
    </w:p>
    <w:p>
      <w:pPr>
        <w:pStyle w:val="ListParagraph"/>
        <w:numPr>
          <w:ilvl w:val="0"/>
          <w:numId w:val="2"/>
        </w:numPr>
        <w:spacing w:after="70" w:line="264"/>
      </w:pPr>
      <w:r>
        <w:rPr>
          <w:b/>
          <w:bCs/>
          <w:color w:val="1A1A2E"/>
          <w:sz w:val="21"/>
          <w:szCs w:val="21"/>
        </w:rPr>
        <w:t xml:space="preserve">FR-3.1  </w:t>
      </w:r>
      <w:r>
        <w:rPr>
          <w:color w:val="1A1A2E"/>
          <w:sz w:val="21"/>
          <w:szCs w:val="21"/>
        </w:rPr>
        <w:t xml:space="preserve">The frontend tracks meaningful actions: product/page views, searches (with query text), clicks, and time-spent (dwell).</w:t>
      </w:r>
    </w:p>
    <w:p>
      <w:pPr>
        <w:pStyle w:val="ListParagraph"/>
        <w:numPr>
          <w:ilvl w:val="0"/>
          <w:numId w:val="2"/>
        </w:numPr>
        <w:spacing w:after="70" w:line="264"/>
      </w:pPr>
      <w:r>
        <w:rPr>
          <w:b/>
          <w:bCs/>
          <w:color w:val="1A1A2E"/>
          <w:sz w:val="21"/>
          <w:szCs w:val="21"/>
        </w:rPr>
        <w:t xml:space="preserve">FR-3.2  </w:t>
      </w:r>
      <w:r>
        <w:rPr>
          <w:b/>
          <w:bCs/>
          <w:color w:val="1A1A2E"/>
          <w:sz w:val="21"/>
          <w:szCs w:val="21"/>
        </w:rPr>
        <w:t xml:space="preserve">Non-blocking: </w:t>
      </w:r>
      <w:r>
        <w:rPr>
          <w:color w:val="1A1A2E"/>
          <w:sz w:val="21"/>
          <w:szCs w:val="21"/>
        </w:rPr>
        <w:t xml:space="preserve">tracking must never freeze or slow the UI. High-frequency events are throttled/debounced; events are batched and sent asynchronously (fetch keepalive / sendBeacon).</w:t>
      </w:r>
    </w:p>
    <w:p>
      <w:pPr>
        <w:pStyle w:val="ListParagraph"/>
        <w:numPr>
          <w:ilvl w:val="0"/>
          <w:numId w:val="2"/>
        </w:numPr>
        <w:spacing w:after="70" w:line="264"/>
      </w:pPr>
      <w:r>
        <w:rPr>
          <w:b/>
          <w:bCs/>
          <w:color w:val="1A1A2E"/>
          <w:sz w:val="21"/>
          <w:szCs w:val="21"/>
        </w:rPr>
        <w:t xml:space="preserve">FR-3.3  </w:t>
      </w:r>
      <w:r>
        <w:rPr>
          <w:color w:val="1A1A2E"/>
          <w:sz w:val="21"/>
          <w:szCs w:val="21"/>
        </w:rPr>
        <w:t xml:space="preserve">The backend stores each event with who/what/when and any relevant metadata.</w:t>
      </w:r>
    </w:p>
    <w:p>
      <w:pPr>
        <w:pStyle w:val="ListParagraph"/>
        <w:numPr>
          <w:ilvl w:val="0"/>
          <w:numId w:val="2"/>
        </w:numPr>
        <w:spacing w:after="70" w:line="264"/>
      </w:pPr>
      <w:r>
        <w:rPr>
          <w:b/>
          <w:bCs/>
          <w:color w:val="1A1A2E"/>
          <w:sz w:val="21"/>
          <w:szCs w:val="21"/>
        </w:rPr>
        <w:t xml:space="preserve">FR-3.4  </w:t>
      </w:r>
      <w:r>
        <w:rPr>
          <w:color w:val="1A1A2E"/>
          <w:sz w:val="21"/>
          <w:szCs w:val="21"/>
        </w:rPr>
        <w:t xml:space="preserve">Event writes are efficient — batch inserts where possible — and do not block the response to the tracker.</w:t>
      </w:r>
    </w:p>
    <w:p>
      <w:pPr>
        <w:pStyle w:val="Heading2"/>
        <w:spacing w:after="100" w:before="220"/>
      </w:pPr>
      <w:r>
        <w:rPr>
          <w:b/>
          <w:bCs/>
          <w:color w:val="1A1A2E"/>
          <w:sz w:val="25"/>
          <w:szCs w:val="25"/>
        </w:rPr>
        <w:t xml:space="preserve">7.4  Agentic Recommendation Engine (FR-4)</w:t>
      </w:r>
    </w:p>
    <w:p>
      <w:pPr>
        <w:pStyle w:val="ListParagraph"/>
        <w:numPr>
          <w:ilvl w:val="0"/>
          <w:numId w:val="2"/>
        </w:numPr>
        <w:spacing w:after="70" w:line="264"/>
      </w:pPr>
      <w:r>
        <w:rPr>
          <w:b/>
          <w:bCs/>
          <w:color w:val="1A1A2E"/>
          <w:sz w:val="21"/>
          <w:szCs w:val="21"/>
        </w:rPr>
        <w:t xml:space="preserve">FR-4.1  </w:t>
      </w:r>
      <w:r>
        <w:rPr>
          <w:color w:val="1A1A2E"/>
          <w:sz w:val="21"/>
          <w:szCs w:val="21"/>
        </w:rPr>
        <w:t xml:space="preserve">The agent builds a behavioral profile from the user’s recent events (interests, repeated searches, dwell-heavy categories).</w:t>
      </w:r>
    </w:p>
    <w:p>
      <w:pPr>
        <w:pStyle w:val="ListParagraph"/>
        <w:numPr>
          <w:ilvl w:val="0"/>
          <w:numId w:val="2"/>
        </w:numPr>
        <w:spacing w:after="70" w:line="264"/>
      </w:pPr>
      <w:r>
        <w:rPr>
          <w:b/>
          <w:bCs/>
          <w:color w:val="1A1A2E"/>
          <w:sz w:val="21"/>
          <w:szCs w:val="21"/>
        </w:rPr>
        <w:t xml:space="preserve">FR-4.2  </w:t>
      </w:r>
      <w:r>
        <w:rPr>
          <w:b/>
          <w:bCs/>
          <w:color w:val="1A1A2E"/>
          <w:sz w:val="21"/>
          <w:szCs w:val="21"/>
        </w:rPr>
        <w:t xml:space="preserve">RAG grounding: </w:t>
      </w:r>
      <w:r>
        <w:rPr>
          <w:color w:val="1A1A2E"/>
          <w:sz w:val="21"/>
          <w:szCs w:val="21"/>
        </w:rPr>
        <w:t xml:space="preserve">the agent retrieves the most relevant products from Qdrant via semantic search; recommendations must come from the real catalog, never invented.</w:t>
      </w:r>
    </w:p>
    <w:p>
      <w:pPr>
        <w:pStyle w:val="ListParagraph"/>
        <w:numPr>
          <w:ilvl w:val="0"/>
          <w:numId w:val="2"/>
        </w:numPr>
        <w:spacing w:after="70" w:line="264"/>
      </w:pPr>
      <w:r>
        <w:rPr>
          <w:b/>
          <w:bCs/>
          <w:color w:val="1A1A2E"/>
          <w:sz w:val="21"/>
          <w:szCs w:val="21"/>
        </w:rPr>
        <w:t xml:space="preserve">FR-4.3  </w:t>
      </w:r>
      <w:r>
        <w:rPr>
          <w:color w:val="1A1A2E"/>
          <w:sz w:val="21"/>
          <w:szCs w:val="21"/>
        </w:rPr>
        <w:t xml:space="preserve">The agent generates a personalized, persuasive recommendation — a short narrative about why it matters to this user, followed by the specific recommended products.</w:t>
      </w:r>
    </w:p>
    <w:p>
      <w:pPr>
        <w:pStyle w:val="ListParagraph"/>
        <w:numPr>
          <w:ilvl w:val="0"/>
          <w:numId w:val="2"/>
        </w:numPr>
        <w:spacing w:after="70" w:line="264"/>
      </w:pPr>
      <w:r>
        <w:rPr>
          <w:b/>
          <w:bCs/>
          <w:color w:val="1A1A2E"/>
          <w:sz w:val="21"/>
          <w:szCs w:val="21"/>
        </w:rPr>
        <w:t xml:space="preserve">FR-4.4  </w:t>
      </w:r>
      <w:r>
        <w:rPr>
          <w:color w:val="1A1A2E"/>
          <w:sz w:val="21"/>
          <w:szCs w:val="21"/>
        </w:rPr>
        <w:t xml:space="preserve">Recommendations are stored and shown on the site, and refresh as the user’s behavior changes.</w:t>
      </w:r>
    </w:p>
    <w:p>
      <w:pPr>
        <w:pStyle w:val="ListParagraph"/>
        <w:numPr>
          <w:ilvl w:val="0"/>
          <w:numId w:val="2"/>
        </w:numPr>
        <w:spacing w:after="70" w:line="264"/>
      </w:pPr>
      <w:r>
        <w:rPr>
          <w:b/>
          <w:bCs/>
          <w:color w:val="1A1A2E"/>
          <w:sz w:val="21"/>
          <w:szCs w:val="21"/>
        </w:rPr>
        <w:t xml:space="preserve">FR-4.5  </w:t>
      </w:r>
      <w:r>
        <w:rPr>
          <w:b/>
          <w:bCs/>
          <w:color w:val="1A1A2E"/>
          <w:sz w:val="21"/>
          <w:szCs w:val="21"/>
        </w:rPr>
        <w:t xml:space="preserve">Bonus (LangGraph): </w:t>
      </w:r>
      <w:r>
        <w:rPr>
          <w:color w:val="1A1A2E"/>
          <w:sz w:val="21"/>
          <w:szCs w:val="21"/>
        </w:rPr>
        <w:t xml:space="preserve">the agent is an explicit graph — analyze activity → decide to retrieve → evaluate retrieval quality → refine if weak → generate.</w:t>
      </w:r>
    </w:p>
    <w:p>
      <w:pPr>
        <w:pStyle w:val="Heading2"/>
        <w:spacing w:after="100" w:before="220"/>
      </w:pPr>
      <w:r>
        <w:rPr>
          <w:b/>
          <w:bCs/>
          <w:color w:val="1A1A2E"/>
          <w:sz w:val="25"/>
          <w:szCs w:val="25"/>
        </w:rPr>
        <w:t xml:space="preserve">7.5  Efficient AI-Call Triggering &amp; Caching (FR-5)</w:t>
      </w:r>
    </w:p>
    <w:p>
      <w:pPr>
        <w:pStyle w:val="ListParagraph"/>
        <w:numPr>
          <w:ilvl w:val="0"/>
          <w:numId w:val="2"/>
        </w:numPr>
        <w:spacing w:after="70" w:line="264"/>
      </w:pPr>
      <w:r>
        <w:rPr>
          <w:b/>
          <w:bCs/>
          <w:color w:val="1A1A2E"/>
          <w:sz w:val="21"/>
          <w:szCs w:val="21"/>
        </w:rPr>
        <w:t xml:space="preserve">FR-5.1  </w:t>
      </w:r>
      <w:r>
        <w:rPr>
          <w:b/>
          <w:bCs/>
          <w:color w:val="1A1A2E"/>
          <w:sz w:val="21"/>
          <w:szCs w:val="21"/>
        </w:rPr>
        <w:t xml:space="preserve">Hybrid trigger: </w:t>
      </w:r>
      <w:r>
        <w:rPr>
          <w:color w:val="1A1A2E"/>
          <w:sz w:val="21"/>
          <w:szCs w:val="21"/>
        </w:rPr>
        <w:t xml:space="preserve">recommendations regenerate automatically once a user accumulates N new events since the last generation, plus an explicit manual ‘refresh’ action.</w:t>
      </w:r>
    </w:p>
    <w:p>
      <w:pPr>
        <w:pStyle w:val="ListParagraph"/>
        <w:numPr>
          <w:ilvl w:val="0"/>
          <w:numId w:val="2"/>
        </w:numPr>
        <w:spacing w:after="70" w:line="264"/>
      </w:pPr>
      <w:r>
        <w:rPr>
          <w:b/>
          <w:bCs/>
          <w:color w:val="1A1A2E"/>
          <w:sz w:val="21"/>
          <w:szCs w:val="21"/>
        </w:rPr>
        <w:t xml:space="preserve">FR-5.2  </w:t>
      </w:r>
      <w:r>
        <w:rPr>
          <w:color w:val="1A1A2E"/>
          <w:sz w:val="21"/>
          <w:szCs w:val="21"/>
        </w:rPr>
        <w:t xml:space="preserve">An LLM call is never fired on every user action; triggers are meaningful and rate-limited.</w:t>
      </w:r>
    </w:p>
    <w:p>
      <w:pPr>
        <w:pStyle w:val="ListParagraph"/>
        <w:numPr>
          <w:ilvl w:val="0"/>
          <w:numId w:val="2"/>
        </w:numPr>
        <w:spacing w:after="70" w:line="264"/>
      </w:pPr>
      <w:r>
        <w:rPr>
          <w:b/>
          <w:bCs/>
          <w:color w:val="1A1A2E"/>
          <w:sz w:val="21"/>
          <w:szCs w:val="21"/>
        </w:rPr>
        <w:t xml:space="preserve">FR-5.3  </w:t>
      </w:r>
      <w:r>
        <w:rPr>
          <w:b/>
          <w:bCs/>
          <w:color w:val="1A1A2E"/>
          <w:sz w:val="21"/>
          <w:szCs w:val="21"/>
        </w:rPr>
        <w:t xml:space="preserve">Caching: </w:t>
      </w:r>
      <w:r>
        <w:rPr>
          <w:color w:val="1A1A2E"/>
          <w:sz w:val="21"/>
          <w:szCs w:val="21"/>
        </w:rPr>
        <w:t xml:space="preserve">if behavior has not meaningfully changed since the last recommendation, the stored recommendation is served instead of calling the LLM again.</w:t>
      </w:r>
    </w:p>
    <w:p>
      <w:pPr>
        <w:pStyle w:val="Heading2"/>
        <w:spacing w:after="100" w:before="220"/>
      </w:pPr>
      <w:r>
        <w:rPr>
          <w:b/>
          <w:bCs/>
          <w:color w:val="1A1A2E"/>
          <w:sz w:val="25"/>
          <w:szCs w:val="25"/>
        </w:rPr>
        <w:t xml:space="preserve">7.6  Proactive Scheduled Delivery — Bonus (FR-6)</w:t>
      </w:r>
    </w:p>
    <w:p>
      <w:pPr>
        <w:pStyle w:val="ListParagraph"/>
        <w:numPr>
          <w:ilvl w:val="0"/>
          <w:numId w:val="2"/>
        </w:numPr>
        <w:spacing w:after="70" w:line="264"/>
      </w:pPr>
      <w:r>
        <w:rPr>
          <w:b/>
          <w:bCs/>
          <w:color w:val="1A1A2E"/>
          <w:sz w:val="21"/>
          <w:szCs w:val="21"/>
        </w:rPr>
        <w:t xml:space="preserve">FR-6.1  </w:t>
      </w:r>
      <w:r>
        <w:rPr>
          <w:color w:val="1A1A2E"/>
          <w:sz w:val="21"/>
          <w:szCs w:val="21"/>
        </w:rPr>
        <w:t xml:space="preserve">A real background scheduler (APScheduler) sends a personalized daily email digest recapping the day’s interests with a persuasive story and tailored recommendations — not a manual button.</w:t>
      </w:r>
    </w:p>
    <w:p>
      <w:pPr>
        <w:pStyle w:val="ListParagraph"/>
        <w:numPr>
          <w:ilvl w:val="0"/>
          <w:numId w:val="2"/>
        </w:numPr>
        <w:spacing w:after="70" w:line="264"/>
      </w:pPr>
      <w:r>
        <w:rPr>
          <w:b/>
          <w:bCs/>
          <w:color w:val="1A1A2E"/>
          <w:sz w:val="21"/>
          <w:szCs w:val="21"/>
        </w:rPr>
        <w:t xml:space="preserve">FR-6.2  </w:t>
      </w:r>
      <w:r>
        <w:rPr>
          <w:color w:val="1A1A2E"/>
          <w:sz w:val="21"/>
          <w:szCs w:val="21"/>
        </w:rPr>
        <w:t xml:space="preserve">The digest reuses the same agent pipeline; all AI calls remain routed through Mesh.</w:t>
      </w:r>
    </w:p>
    <w:p>
      <w:pPr>
        <w:pStyle w:val="Heading2"/>
        <w:spacing w:after="100" w:before="220"/>
      </w:pPr>
      <w:r>
        <w:rPr>
          <w:b/>
          <w:bCs/>
          <w:color w:val="1A1A2E"/>
          <w:sz w:val="25"/>
          <w:szCs w:val="25"/>
        </w:rPr>
        <w:t xml:space="preserve">7.7  Observability — Bonus (FR-7)</w:t>
      </w:r>
    </w:p>
    <w:p>
      <w:pPr>
        <w:pStyle w:val="ListParagraph"/>
        <w:numPr>
          <w:ilvl w:val="0"/>
          <w:numId w:val="2"/>
        </w:numPr>
        <w:spacing w:after="70" w:line="264"/>
      </w:pPr>
      <w:r>
        <w:rPr>
          <w:b/>
          <w:bCs/>
          <w:color w:val="1A1A2E"/>
          <w:sz w:val="21"/>
          <w:szCs w:val="21"/>
        </w:rPr>
        <w:t xml:space="preserve">FR-7.1  </w:t>
      </w:r>
      <w:r>
        <w:rPr>
          <w:color w:val="1A1A2E"/>
          <w:sz w:val="21"/>
          <w:szCs w:val="21"/>
        </w:rPr>
        <w:t xml:space="preserve">LangSmith tracing instruments the agent so each run’s analyze/retrieve/evaluate/generate steps are observable end to end.</w:t>
      </w:r>
    </w:p>
    <w:p>
      <w:r>
        <w:br w:type="page"/>
      </w:r>
    </w:p>
    <w:p>
      <w:pPr>
        <w:pStyle w:val="Heading1"/>
        <w:spacing w:after="140" w:before="320"/>
      </w:pPr>
      <w:r>
        <w:rPr>
          <w:b/>
          <w:bCs/>
          <w:color w:val="0F4C81"/>
          <w:sz w:val="30"/>
          <w:szCs w:val="30"/>
        </w:rPr>
        <w:t xml:space="preserve">8.  Non-Functional Requirements</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2200"/>
        <w:gridCol w:w="7160"/>
      </w:tblGrid>
      <w:tr>
        <w:trPr>
          <w:tblHeader/>
        </w:trPr>
        <w:tc>
          <w:tcPr>
            <w:tcW w:type="dxa" w:w="2200"/>
            <w:shd w:fill="0F4C81" w:val="clear"/>
            <w:tcMar>
              <w:top w:type="dxa" w:w="80"/>
              <w:left w:type="dxa" w:w="110"/>
              <w:bottom w:type="dxa" w:w="80"/>
              <w:right w:type="dxa" w:w="110"/>
            </w:tcMar>
          </w:tcPr>
          <w:p>
            <w:r>
              <w:rPr>
                <w:b/>
                <w:bCs/>
                <w:color w:val="FFFFFF"/>
                <w:sz w:val="19"/>
                <w:szCs w:val="19"/>
              </w:rPr>
              <w:t xml:space="preserve">Category</w:t>
            </w:r>
          </w:p>
        </w:tc>
        <w:tc>
          <w:tcPr>
            <w:tcW w:type="dxa" w:w="7160"/>
            <w:shd w:fill="0F4C81" w:val="clear"/>
            <w:tcMar>
              <w:top w:type="dxa" w:w="80"/>
              <w:left w:type="dxa" w:w="110"/>
              <w:bottom w:type="dxa" w:w="80"/>
              <w:right w:type="dxa" w:w="110"/>
            </w:tcMar>
          </w:tcPr>
          <w:p>
            <w:r>
              <w:rPr>
                <w:b/>
                <w:bCs/>
                <w:color w:val="FFFFFF"/>
                <w:sz w:val="19"/>
                <w:szCs w:val="19"/>
              </w:rPr>
              <w:t xml:space="preserve">Requirement</w:t>
            </w:r>
          </w:p>
        </w:tc>
      </w:tr>
      <w:tr>
        <w:tc>
          <w:tcPr>
            <w:tcW w:type="dxa" w:w="2200"/>
            <w:shd w:fill="FFFFFF" w:val="clear"/>
            <w:tcMar>
              <w:top w:type="dxa" w:w="70"/>
              <w:left w:type="dxa" w:w="110"/>
              <w:bottom w:type="dxa" w:w="70"/>
              <w:right w:type="dxa" w:w="110"/>
            </w:tcMar>
          </w:tcPr>
          <w:p>
            <w:pPr>
              <w:spacing w:after="20"/>
            </w:pPr>
            <w:r>
              <w:rPr>
                <w:color w:val="1A1A2E"/>
                <w:sz w:val="18"/>
                <w:szCs w:val="18"/>
              </w:rPr>
              <w:t xml:space="preserve">Performance</w:t>
            </w:r>
          </w:p>
        </w:tc>
        <w:tc>
          <w:tcPr>
            <w:tcW w:type="dxa" w:w="7160"/>
            <w:shd w:fill="FFFFFF" w:val="clear"/>
            <w:tcMar>
              <w:top w:type="dxa" w:w="70"/>
              <w:left w:type="dxa" w:w="110"/>
              <w:bottom w:type="dxa" w:w="70"/>
              <w:right w:type="dxa" w:w="110"/>
            </w:tcMar>
          </w:tcPr>
          <w:p>
            <w:pPr>
              <w:spacing w:after="20"/>
            </w:pPr>
            <w:r>
              <w:rPr>
                <w:color w:val="1A1A2E"/>
                <w:sz w:val="18"/>
                <w:szCs w:val="18"/>
              </w:rPr>
              <w:t xml:space="preserve">Event tracking is non-blocking; batched inserts; recommendation reads served from storage/cache without an LLM call unless a trigger fires.</w:t>
            </w:r>
          </w:p>
        </w:tc>
      </w:tr>
      <w:tr>
        <w:tc>
          <w:tcPr>
            <w:tcW w:type="dxa" w:w="2200"/>
            <w:shd w:fill="F4F7FA" w:val="clear"/>
            <w:tcMar>
              <w:top w:type="dxa" w:w="70"/>
              <w:left w:type="dxa" w:w="110"/>
              <w:bottom w:type="dxa" w:w="70"/>
              <w:right w:type="dxa" w:w="110"/>
            </w:tcMar>
          </w:tcPr>
          <w:p>
            <w:pPr>
              <w:spacing w:after="20"/>
            </w:pPr>
            <w:r>
              <w:rPr>
                <w:color w:val="1A1A2E"/>
                <w:sz w:val="18"/>
                <w:szCs w:val="18"/>
              </w:rPr>
              <w:t xml:space="preserve">Efficiency (judged)</w:t>
            </w:r>
          </w:p>
        </w:tc>
        <w:tc>
          <w:tcPr>
            <w:tcW w:type="dxa" w:w="7160"/>
            <w:shd w:fill="F4F7FA" w:val="clear"/>
            <w:tcMar>
              <w:top w:type="dxa" w:w="70"/>
              <w:left w:type="dxa" w:w="110"/>
              <w:bottom w:type="dxa" w:w="70"/>
              <w:right w:type="dxa" w:w="110"/>
            </w:tcMar>
          </w:tcPr>
          <w:p>
            <w:pPr>
              <w:spacing w:after="20"/>
            </w:pPr>
            <w:r>
              <w:rPr>
                <w:color w:val="1A1A2E"/>
                <w:sz w:val="18"/>
                <w:szCs w:val="18"/>
              </w:rPr>
              <w:t xml:space="preserve">AI calls are minimized via meaningful triggers + caching; embeddings are computed once per product and reused.</w:t>
            </w:r>
          </w:p>
        </w:tc>
      </w:tr>
      <w:tr>
        <w:tc>
          <w:tcPr>
            <w:tcW w:type="dxa" w:w="2200"/>
            <w:shd w:fill="FFFFFF" w:val="clear"/>
            <w:tcMar>
              <w:top w:type="dxa" w:w="70"/>
              <w:left w:type="dxa" w:w="110"/>
              <w:bottom w:type="dxa" w:w="70"/>
              <w:right w:type="dxa" w:w="110"/>
            </w:tcMar>
          </w:tcPr>
          <w:p>
            <w:pPr>
              <w:spacing w:after="20"/>
            </w:pPr>
            <w:r>
              <w:rPr>
                <w:color w:val="1A1A2E"/>
                <w:sz w:val="18"/>
                <w:szCs w:val="18"/>
              </w:rPr>
              <w:t xml:space="preserve">Security</w:t>
            </w:r>
          </w:p>
        </w:tc>
        <w:tc>
          <w:tcPr>
            <w:tcW w:type="dxa" w:w="7160"/>
            <w:shd w:fill="FFFFFF" w:val="clear"/>
            <w:tcMar>
              <w:top w:type="dxa" w:w="70"/>
              <w:left w:type="dxa" w:w="110"/>
              <w:bottom w:type="dxa" w:w="70"/>
              <w:right w:type="dxa" w:w="110"/>
            </w:tcMar>
          </w:tcPr>
          <w:p>
            <w:pPr>
              <w:spacing w:after="20"/>
            </w:pPr>
            <w:r>
              <w:rPr>
                <w:color w:val="1A1A2E"/>
                <w:sz w:val="18"/>
                <w:szCs w:val="18"/>
              </w:rPr>
              <w:t xml:space="preserve">Passwords hashed (bcrypt); secrets only in a gitignored .env and GitHub secrets; no credentials committed; input validated via Pydantic.</w:t>
            </w:r>
          </w:p>
        </w:tc>
      </w:tr>
      <w:tr>
        <w:tc>
          <w:tcPr>
            <w:tcW w:type="dxa" w:w="2200"/>
            <w:shd w:fill="F4F7FA" w:val="clear"/>
            <w:tcMar>
              <w:top w:type="dxa" w:w="70"/>
              <w:left w:type="dxa" w:w="110"/>
              <w:bottom w:type="dxa" w:w="70"/>
              <w:right w:type="dxa" w:w="110"/>
            </w:tcMar>
          </w:tcPr>
          <w:p>
            <w:pPr>
              <w:spacing w:after="20"/>
            </w:pPr>
            <w:r>
              <w:rPr>
                <w:color w:val="1A1A2E"/>
                <w:sz w:val="18"/>
                <w:szCs w:val="18"/>
              </w:rPr>
              <w:t xml:space="preserve">Reliability</w:t>
            </w:r>
          </w:p>
        </w:tc>
        <w:tc>
          <w:tcPr>
            <w:tcW w:type="dxa" w:w="7160"/>
            <w:shd w:fill="F4F7FA" w:val="clear"/>
            <w:tcMar>
              <w:top w:type="dxa" w:w="70"/>
              <w:left w:type="dxa" w:w="110"/>
              <w:bottom w:type="dxa" w:w="70"/>
              <w:right w:type="dxa" w:w="110"/>
            </w:tcMar>
          </w:tcPr>
          <w:p>
            <w:pPr>
              <w:spacing w:after="20"/>
            </w:pPr>
            <w:r>
              <w:rPr>
                <w:color w:val="1A1A2E"/>
                <w:sz w:val="18"/>
                <w:szCs w:val="18"/>
              </w:rPr>
              <w:t xml:space="preserve">Dual-write kept transactional so SQL and Qdrant do not drift; graceful handling of Mesh/Qdrant failures.</w:t>
            </w:r>
          </w:p>
        </w:tc>
      </w:tr>
      <w:tr>
        <w:tc>
          <w:tcPr>
            <w:tcW w:type="dxa" w:w="2200"/>
            <w:shd w:fill="FFFFFF" w:val="clear"/>
            <w:tcMar>
              <w:top w:type="dxa" w:w="70"/>
              <w:left w:type="dxa" w:w="110"/>
              <w:bottom w:type="dxa" w:w="70"/>
              <w:right w:type="dxa" w:w="110"/>
            </w:tcMar>
          </w:tcPr>
          <w:p>
            <w:pPr>
              <w:spacing w:after="20"/>
            </w:pPr>
            <w:r>
              <w:rPr>
                <w:color w:val="1A1A2E"/>
                <w:sz w:val="18"/>
                <w:szCs w:val="18"/>
              </w:rPr>
              <w:t xml:space="preserve">Maintainability</w:t>
            </w:r>
          </w:p>
        </w:tc>
        <w:tc>
          <w:tcPr>
            <w:tcW w:type="dxa" w:w="7160"/>
            <w:shd w:fill="FFFFFF" w:val="clear"/>
            <w:tcMar>
              <w:top w:type="dxa" w:w="70"/>
              <w:left w:type="dxa" w:w="110"/>
              <w:bottom w:type="dxa" w:w="70"/>
              <w:right w:type="dxa" w:w="110"/>
            </w:tcMar>
          </w:tcPr>
          <w:p>
            <w:pPr>
              <w:spacing w:after="20"/>
            </w:pPr>
            <w:r>
              <w:rPr>
                <w:color w:val="1A1A2E"/>
                <w:sz w:val="18"/>
                <w:szCs w:val="18"/>
              </w:rPr>
              <w:t xml:space="preserve">Clear module boundaries; a single LLMClient wrapper; DB-agnostic ORM; readable for automated + human review.</w:t>
            </w:r>
          </w:p>
        </w:tc>
      </w:tr>
      <w:tr>
        <w:tc>
          <w:tcPr>
            <w:tcW w:type="dxa" w:w="2200"/>
            <w:shd w:fill="F4F7FA" w:val="clear"/>
            <w:tcMar>
              <w:top w:type="dxa" w:w="70"/>
              <w:left w:type="dxa" w:w="110"/>
              <w:bottom w:type="dxa" w:w="70"/>
              <w:right w:type="dxa" w:w="110"/>
            </w:tcMar>
          </w:tcPr>
          <w:p>
            <w:pPr>
              <w:spacing w:after="20"/>
            </w:pPr>
            <w:r>
              <w:rPr>
                <w:color w:val="1A1A2E"/>
                <w:sz w:val="18"/>
                <w:szCs w:val="18"/>
              </w:rPr>
              <w:t xml:space="preserve">Portability</w:t>
            </w:r>
          </w:p>
        </w:tc>
        <w:tc>
          <w:tcPr>
            <w:tcW w:type="dxa" w:w="7160"/>
            <w:shd w:fill="F4F7FA" w:val="clear"/>
            <w:tcMar>
              <w:top w:type="dxa" w:w="70"/>
              <w:left w:type="dxa" w:w="110"/>
              <w:bottom w:type="dxa" w:w="70"/>
              <w:right w:type="dxa" w:w="110"/>
            </w:tcMar>
          </w:tcPr>
          <w:p>
            <w:pPr>
              <w:spacing w:after="20"/>
            </w:pPr>
            <w:r>
              <w:rPr>
                <w:color w:val="1A1A2E"/>
                <w:sz w:val="18"/>
                <w:szCs w:val="18"/>
              </w:rPr>
              <w:t xml:space="preserve">Same code runs against local SQLite + Docker Qdrant or Postgres + Qdrant Cloud via env vars only.</w:t>
            </w:r>
          </w:p>
        </w:tc>
      </w:tr>
      <w:tr>
        <w:tc>
          <w:tcPr>
            <w:tcW w:type="dxa" w:w="2200"/>
            <w:shd w:fill="FFFFFF" w:val="clear"/>
            <w:tcMar>
              <w:top w:type="dxa" w:w="70"/>
              <w:left w:type="dxa" w:w="110"/>
              <w:bottom w:type="dxa" w:w="70"/>
              <w:right w:type="dxa" w:w="110"/>
            </w:tcMar>
          </w:tcPr>
          <w:p>
            <w:pPr>
              <w:spacing w:after="20"/>
            </w:pPr>
            <w:r>
              <w:rPr>
                <w:color w:val="1A1A2E"/>
                <w:sz w:val="18"/>
                <w:szCs w:val="18"/>
              </w:rPr>
              <w:t xml:space="preserve">Observability</w:t>
            </w:r>
          </w:p>
        </w:tc>
        <w:tc>
          <w:tcPr>
            <w:tcW w:type="dxa" w:w="7160"/>
            <w:shd w:fill="FFFFFF" w:val="clear"/>
            <w:tcMar>
              <w:top w:type="dxa" w:w="70"/>
              <w:left w:type="dxa" w:w="110"/>
              <w:bottom w:type="dxa" w:w="70"/>
              <w:right w:type="dxa" w:w="110"/>
            </w:tcMar>
          </w:tcPr>
          <w:p>
            <w:pPr>
              <w:spacing w:after="20"/>
            </w:pPr>
            <w:r>
              <w:rPr>
                <w:color w:val="1A1A2E"/>
                <w:sz w:val="18"/>
                <w:szCs w:val="18"/>
              </w:rPr>
              <w:t xml:space="preserve">Structured logging; LangSmith tracing (bonus) for the agent.</w:t>
            </w:r>
          </w:p>
        </w:tc>
      </w:tr>
      <w:tr>
        <w:tc>
          <w:tcPr>
            <w:tcW w:type="dxa" w:w="2200"/>
            <w:shd w:fill="F4F7FA" w:val="clear"/>
            <w:tcMar>
              <w:top w:type="dxa" w:w="70"/>
              <w:left w:type="dxa" w:w="110"/>
              <w:bottom w:type="dxa" w:w="70"/>
              <w:right w:type="dxa" w:w="110"/>
            </w:tcMar>
          </w:tcPr>
          <w:p>
            <w:pPr>
              <w:spacing w:after="20"/>
            </w:pPr>
            <w:r>
              <w:rPr>
                <w:color w:val="1A1A2E"/>
                <w:sz w:val="18"/>
                <w:szCs w:val="18"/>
              </w:rPr>
              <w:t xml:space="preserve">Usability</w:t>
            </w:r>
          </w:p>
        </w:tc>
        <w:tc>
          <w:tcPr>
            <w:tcW w:type="dxa" w:w="7160"/>
            <w:shd w:fill="F4F7FA" w:val="clear"/>
            <w:tcMar>
              <w:top w:type="dxa" w:w="70"/>
              <w:left w:type="dxa" w:w="110"/>
              <w:bottom w:type="dxa" w:w="70"/>
              <w:right w:type="dxa" w:w="110"/>
            </w:tcMar>
          </w:tcPr>
          <w:p>
            <w:pPr>
              <w:spacing w:after="20"/>
            </w:pPr>
            <w:r>
              <w:rPr>
                <w:color w:val="1A1A2E"/>
                <w:sz w:val="18"/>
                <w:szCs w:val="18"/>
              </w:rPr>
              <w:t xml:space="preserve">Clean course-marketplace UI; recommendations shown with a clear persuasive narrative.</w:t>
            </w:r>
          </w:p>
        </w:tc>
      </w:tr>
    </w:tbl>
    <w:p>
      <w:r>
        <w:br w:type="page"/>
      </w:r>
    </w:p>
    <w:p>
      <w:pPr>
        <w:pStyle w:val="Heading1"/>
        <w:spacing w:after="140" w:before="320"/>
      </w:pPr>
      <w:r>
        <w:rPr>
          <w:b/>
          <w:bCs/>
          <w:color w:val="0F4C81"/>
          <w:sz w:val="30"/>
          <w:szCs w:val="30"/>
        </w:rPr>
        <w:t xml:space="preserve">9.  Dataset &amp; Catalog Seeding</w:t>
      </w:r>
    </w:p>
    <w:p>
      <w:pPr>
        <w:spacing w:after="120" w:line="276"/>
        <w:jc w:val="both"/>
      </w:pPr>
      <w:r>
        <w:rPr>
          <w:color w:val="1A1A2E"/>
          <w:sz w:val="21"/>
          <w:szCs w:val="21"/>
        </w:rPr>
        <w:t xml:space="preserve">Because the brief frames the platform as a course/learning marketplace, the catalog is seeded from a public </w:t>
      </w:r>
      <w:r>
        <w:rPr>
          <w:b/>
          <w:bCs/>
          <w:color w:val="1A1A2E"/>
          <w:sz w:val="21"/>
          <w:szCs w:val="21"/>
        </w:rPr>
        <w:t xml:space="preserve">online-courses dataset</w:t>
      </w:r>
      <w:r>
        <w:rPr>
          <w:color w:val="1A1A2E"/>
          <w:sz w:val="21"/>
          <w:szCs w:val="21"/>
        </w:rPr>
        <w:t xml:space="preserve"> with rich text per item (title, description, category, price) so that embeddings are semantically meaningful. Reference choice: a Kaggle online-courses dataset (e.g. the ~10k Coursera/Udacity/Simplilearn/FutureLearn compilation) as primary source, with the well-known ~3.7k Udemy-courses dataset as a clean fallback.</w:t>
      </w:r>
    </w:p>
    <w:p>
      <w:pPr>
        <w:pStyle w:val="Heading2"/>
        <w:spacing w:after="100" w:before="220"/>
      </w:pPr>
      <w:r>
        <w:rPr>
          <w:b/>
          <w:bCs/>
          <w:color w:val="1A1A2E"/>
          <w:sz w:val="25"/>
          <w:szCs w:val="25"/>
        </w:rPr>
        <w:t xml:space="preserve">9.1  Catalog Sizing (Working Set: 1,000–2,000 products)</w:t>
      </w:r>
    </w:p>
    <w:p>
      <w:pPr>
        <w:spacing w:after="120" w:line="276"/>
        <w:jc w:val="both"/>
      </w:pPr>
      <w:r>
        <w:rPr>
          <w:color w:val="1A1A2E"/>
          <w:sz w:val="21"/>
          <w:szCs w:val="21"/>
        </w:rPr>
        <w:t xml:space="preserve">The catalog is deliberately trimmed to a </w:t>
      </w:r>
      <w:r>
        <w:rPr>
          <w:b/>
          <w:bCs/>
          <w:color w:val="1A1A2E"/>
          <w:sz w:val="21"/>
          <w:szCs w:val="21"/>
        </w:rPr>
        <w:t xml:space="preserve">1,000–2,000-product working set</w:t>
      </w:r>
      <w:r>
        <w:rPr>
          <w:color w:val="1A1A2E"/>
          <w:sz w:val="21"/>
          <w:szCs w:val="21"/>
        </w:rPr>
        <w:t xml:space="preserve"> for this project and its demo, rather than ingesting the full ~10k source. This is a considered decision, not a limitation:</w:t>
      </w:r>
    </w:p>
    <w:p>
      <w:pPr>
        <w:pStyle w:val="ListParagraph"/>
        <w:numPr>
          <w:ilvl w:val="0"/>
          <w:numId w:val="2"/>
        </w:numPr>
        <w:spacing w:after="70" w:line="264"/>
      </w:pPr>
      <w:r>
        <w:rPr>
          <w:b/>
          <w:bCs/>
          <w:color w:val="1A1A2E"/>
          <w:sz w:val="21"/>
          <w:szCs w:val="21"/>
        </w:rPr>
        <w:t xml:space="preserve">Judged on the loop, not catalog size: </w:t>
      </w:r>
      <w:r>
        <w:rPr>
          <w:color w:val="1A1A2E"/>
          <w:sz w:val="21"/>
          <w:szCs w:val="21"/>
        </w:rPr>
        <w:t xml:space="preserve">a 1–2k catalog already yields rich, varied semantic retrieval and realistic behavioral clustering (e.g. ‘agentic AI’, ‘data science’, ‘web development’) — exactly the behavior the brief’s own example describes (“keeps landing on agentic-AI content”).</w:t>
      </w:r>
    </w:p>
    <w:p>
      <w:pPr>
        <w:pStyle w:val="ListParagraph"/>
        <w:numPr>
          <w:ilvl w:val="0"/>
          <w:numId w:val="2"/>
        </w:numPr>
        <w:spacing w:after="70" w:line="264"/>
      </w:pPr>
      <w:r>
        <w:rPr>
          <w:b/>
          <w:bCs/>
          <w:color w:val="1A1A2E"/>
          <w:sz w:val="21"/>
          <w:szCs w:val="21"/>
        </w:rPr>
        <w:t xml:space="preserve">Frictionless clone-and-run: </w:t>
      </w:r>
      <w:r>
        <w:rPr>
          <w:color w:val="1A1A2E"/>
          <w:sz w:val="21"/>
          <w:szCs w:val="21"/>
        </w:rPr>
        <w:t xml:space="preserve">a smaller seed keeps ingestion fast for both the automated screener and human reviewers, and keeps the local demo smooth.</w:t>
      </w:r>
    </w:p>
    <w:p>
      <w:pPr>
        <w:pStyle w:val="ListParagraph"/>
        <w:numPr>
          <w:ilvl w:val="0"/>
          <w:numId w:val="2"/>
        </w:numPr>
        <w:spacing w:after="70" w:line="264"/>
      </w:pPr>
      <w:r>
        <w:rPr>
          <w:b/>
          <w:bCs/>
          <w:color w:val="1A1A2E"/>
          <w:sz w:val="21"/>
          <w:szCs w:val="21"/>
        </w:rPr>
        <w:t xml:space="preserve">Lower, predictable Mesh usage: </w:t>
      </w:r>
      <w:r>
        <w:rPr>
          <w:color w:val="1A1A2E"/>
          <w:sz w:val="21"/>
          <w:szCs w:val="21"/>
        </w:rPr>
        <w:t xml:space="preserve">seeding embeds each product once via Mesh; a 1–2k set keeps that one-time embedding cost and any rate-limit exposure small.</w:t>
      </w:r>
    </w:p>
    <w:p>
      <w:pPr>
        <w:pStyle w:val="ListParagraph"/>
        <w:numPr>
          <w:ilvl w:val="0"/>
          <w:numId w:val="2"/>
        </w:numPr>
        <w:spacing w:after="70" w:line="264"/>
      </w:pPr>
      <w:r>
        <w:rPr>
          <w:b/>
          <w:bCs/>
          <w:color w:val="1A1A2E"/>
          <w:sz w:val="21"/>
          <w:szCs w:val="21"/>
        </w:rPr>
        <w:t xml:space="preserve">Identical code path to full scale: </w:t>
      </w:r>
      <w:r>
        <w:rPr>
          <w:color w:val="1A1A2E"/>
          <w:sz w:val="21"/>
          <w:szCs w:val="21"/>
        </w:rPr>
        <w:t xml:space="preserve">the working-set size is a configuration flag (e.g. CATALOG_LIMIT). Scaling to the full dataset for a live deployment requires no architectural change — only lifting the limit.</w:t>
      </w:r>
    </w:p>
    <w:tbl>
      <w:tblPr>
        <w:tblW w:type="pct" w:w="100%"/>
        <w:tblBorders>
          <w:top w:val="none"/>
          <w:left w:val="single" w:color="0F4C81" w:sz="18"/>
          <w:bottom w:val="none"/>
          <w:right w:val="none"/>
          <w:insideH w:val="none"/>
          <w:insideV w:val="none"/>
        </w:tblBorders>
      </w:tblPr>
      <w:tblGrid>
        <w:gridCol w:w="9360"/>
      </w:tblGrid>
      <w:tr>
        <w:tc>
          <w:tcPr>
            <w:tcW w:type="dxa" w:w="9360"/>
            <w:shd w:fill="EAF1F7" w:val="clear"/>
            <w:tcMar>
              <w:top w:type="dxa" w:w="120"/>
              <w:left w:type="dxa" w:w="160"/>
              <w:bottom w:type="dxa" w:w="120"/>
              <w:right w:type="dxa" w:w="160"/>
            </w:tcMar>
          </w:tcPr>
          <w:p>
            <w:pPr>
              <w:spacing w:after="40"/>
            </w:pPr>
            <w:r>
              <w:rPr>
                <w:b/>
                <w:bCs/>
                <w:color w:val="0F4C81"/>
                <w:sz w:val="20"/>
                <w:szCs w:val="20"/>
              </w:rPr>
              <w:t xml:space="preserve">README requirement</w:t>
            </w:r>
          </w:p>
          <w:p>
            <w:pPr>
              <w:spacing w:after="40"/>
            </w:pPr>
            <w:r>
              <w:rPr>
                <w:color w:val="1A1A2E"/>
                <w:sz w:val="20"/>
                <w:szCs w:val="20"/>
              </w:rPr>
              <w:t xml:space="preserve">The README must clearly state that the project uses a 1,000–2,000-product working set of the source dataset (which dataset, the trim size, and the CATALOG_LIMIT flag), so reviewers understand the catalog scope up front.</w:t>
            </w:r>
          </w:p>
        </w:tc>
      </w:tr>
    </w:tbl>
    <w:p>
      <w:pPr>
        <w:pStyle w:val="Heading2"/>
        <w:spacing w:after="100" w:before="220"/>
      </w:pPr>
      <w:r>
        <w:rPr>
          <w:b/>
          <w:bCs/>
          <w:color w:val="1A1A2E"/>
          <w:sz w:val="25"/>
          <w:szCs w:val="25"/>
        </w:rPr>
        <w:t xml:space="preserve">9.2  Batched, Resumable Seeding</w:t>
      </w:r>
    </w:p>
    <w:p>
      <w:pPr>
        <w:spacing w:after="120" w:line="276"/>
        <w:jc w:val="both"/>
      </w:pPr>
      <w:r>
        <w:rPr>
          <w:color w:val="1A1A2E"/>
          <w:sz w:val="21"/>
          <w:szCs w:val="21"/>
        </w:rPr>
        <w:t xml:space="preserve">scripts/seed_catalog.py loads the dataset, writes products to the relational DB, and dual-writes embeddings (via Mesh) into Qdrant — exercising the exact sync path used by the admin CRUD. To keep this efficient and robust, the seed process observes the following requirements:</w:t>
      </w:r>
    </w:p>
    <w:p>
      <w:pPr>
        <w:pStyle w:val="ListParagraph"/>
        <w:numPr>
          <w:ilvl w:val="0"/>
          <w:numId w:val="2"/>
        </w:numPr>
        <w:spacing w:after="70" w:line="264"/>
      </w:pPr>
      <w:r>
        <w:rPr>
          <w:b/>
          <w:bCs/>
          <w:color w:val="1A1A2E"/>
          <w:sz w:val="21"/>
          <w:szCs w:val="21"/>
        </w:rPr>
        <w:t xml:space="preserve">Batched embeddings: </w:t>
      </w:r>
      <w:r>
        <w:rPr>
          <w:color w:val="1A1A2E"/>
          <w:sz w:val="21"/>
          <w:szCs w:val="21"/>
        </w:rPr>
        <w:t xml:space="preserve">texts are embedded in batches (e.g. ~100 inputs per Mesh request), not one call per product — turning a 1–2k-product seed into a few dozen Mesh calls.</w:t>
      </w:r>
    </w:p>
    <w:p>
      <w:pPr>
        <w:pStyle w:val="ListParagraph"/>
        <w:numPr>
          <w:ilvl w:val="0"/>
          <w:numId w:val="2"/>
        </w:numPr>
        <w:spacing w:after="70" w:line="264"/>
      </w:pPr>
      <w:r>
        <w:rPr>
          <w:b/>
          <w:bCs/>
          <w:color w:val="1A1A2E"/>
          <w:sz w:val="21"/>
          <w:szCs w:val="21"/>
        </w:rPr>
        <w:t xml:space="preserve">Resumable: </w:t>
      </w:r>
      <w:r>
        <w:rPr>
          <w:color w:val="1A1A2E"/>
          <w:sz w:val="21"/>
          <w:szCs w:val="21"/>
        </w:rPr>
        <w:t xml:space="preserve">the script skips products already present in Qdrant, so a mid-run failure does not force a full re-embed (and re-spend). Re-running is safe and idempotent.</w:t>
      </w:r>
    </w:p>
    <w:p>
      <w:pPr>
        <w:pStyle w:val="ListParagraph"/>
        <w:numPr>
          <w:ilvl w:val="0"/>
          <w:numId w:val="2"/>
        </w:numPr>
        <w:spacing w:after="70" w:line="264"/>
      </w:pPr>
      <w:r>
        <w:rPr>
          <w:b/>
          <w:bCs/>
          <w:color w:val="1A1A2E"/>
          <w:sz w:val="21"/>
          <w:szCs w:val="21"/>
        </w:rPr>
        <w:t xml:space="preserve">Backoff on rate limits: </w:t>
      </w:r>
      <w:r>
        <w:rPr>
          <w:color w:val="1A1A2E"/>
          <w:sz w:val="21"/>
          <w:szCs w:val="21"/>
        </w:rPr>
        <w:t xml:space="preserve">embedding batches use light retry/backoff to tolerate transient Mesh rate limiting.</w:t>
      </w:r>
    </w:p>
    <w:p>
      <w:pPr>
        <w:pStyle w:val="ListParagraph"/>
        <w:numPr>
          <w:ilvl w:val="0"/>
          <w:numId w:val="2"/>
        </w:numPr>
        <w:spacing w:after="70" w:line="264"/>
      </w:pPr>
      <w:r>
        <w:rPr>
          <w:b/>
          <w:bCs/>
          <w:color w:val="1A1A2E"/>
          <w:sz w:val="21"/>
          <w:szCs w:val="21"/>
        </w:rPr>
        <w:t xml:space="preserve">One-time cost: </w:t>
      </w:r>
      <w:r>
        <w:rPr>
          <w:color w:val="1A1A2E"/>
          <w:sz w:val="21"/>
          <w:szCs w:val="21"/>
        </w:rPr>
        <w:t xml:space="preserve">seeding runs once; the app does not re-embed the catalog on every restart.</w:t>
      </w:r>
    </w:p>
    <w:p>
      <w:pPr>
        <w:pStyle w:val="ListParagraph"/>
        <w:numPr>
          <w:ilvl w:val="0"/>
          <w:numId w:val="2"/>
        </w:numPr>
        <w:spacing w:after="70" w:line="264"/>
      </w:pPr>
      <w:r>
        <w:rPr>
          <w:b/>
          <w:bCs/>
          <w:color w:val="1A1A2E"/>
          <w:sz w:val="21"/>
          <w:szCs w:val="21"/>
        </w:rPr>
        <w:t xml:space="preserve">Licensing: </w:t>
      </w:r>
      <w:r>
        <w:rPr>
          <w:color w:val="1A1A2E"/>
          <w:sz w:val="21"/>
          <w:szCs w:val="21"/>
        </w:rPr>
        <w:t xml:space="preserve">the exact file and its license are confirmed at build time; only publicly available, redistributable data is used.</w:t>
      </w:r>
    </w:p>
    <w:p>
      <w:r>
        <w:br w:type="page"/>
      </w:r>
    </w:p>
    <w:p>
      <w:pPr>
        <w:pStyle w:val="Heading1"/>
        <w:spacing w:after="140" w:before="320"/>
      </w:pPr>
      <w:r>
        <w:rPr>
          <w:b/>
          <w:bCs/>
          <w:color w:val="0F4C81"/>
          <w:sz w:val="30"/>
          <w:szCs w:val="30"/>
        </w:rPr>
        <w:t xml:space="preserve">10.  Submission &amp; CI Compliance</w:t>
      </w:r>
    </w:p>
    <w:p>
      <w:pPr>
        <w:spacing w:after="120" w:line="276"/>
        <w:jc w:val="both"/>
      </w:pPr>
      <w:r>
        <w:rPr>
          <w:color w:val="1A1A2E"/>
          <w:sz w:val="21"/>
          <w:szCs w:val="21"/>
        </w:rPr>
        <w:t xml:space="preserve">The repository is the submission. The following must be present and correct for the commit to be eligible for evaluation.</w:t>
      </w:r>
    </w:p>
    <w:p>
      <w:pPr>
        <w:pStyle w:val="Heading2"/>
        <w:spacing w:after="100" w:before="220"/>
      </w:pPr>
      <w:r>
        <w:rPr>
          <w:b/>
          <w:bCs/>
          <w:color w:val="1A1A2E"/>
          <w:sz w:val="25"/>
          <w:szCs w:val="25"/>
        </w:rPr>
        <w:t xml:space="preserve">10.1  Repository Contents</w:t>
      </w:r>
    </w:p>
    <w:p>
      <w:pPr>
        <w:pStyle w:val="ListParagraph"/>
        <w:numPr>
          <w:ilvl w:val="0"/>
          <w:numId w:val="2"/>
        </w:numPr>
        <w:spacing w:after="70" w:line="264"/>
      </w:pPr>
      <w:r>
        <w:rPr>
          <w:color w:val="1A1A2E"/>
          <w:sz w:val="21"/>
          <w:szCs w:val="21"/>
        </w:rPr>
        <w:t xml:space="preserve">All source code.</w:t>
      </w:r>
    </w:p>
    <w:p>
      <w:pPr>
        <w:pStyle w:val="ListParagraph"/>
        <w:numPr>
          <w:ilvl w:val="0"/>
          <w:numId w:val="2"/>
        </w:numPr>
        <w:spacing w:after="70" w:line="264"/>
      </w:pPr>
      <w:r>
        <w:rPr>
          <w:color w:val="1A1A2E"/>
          <w:sz w:val="21"/>
          <w:szCs w:val="21"/>
        </w:rPr>
        <w:t xml:space="preserve">A </w:t>
      </w:r>
      <w:r>
        <w:rPr>
          <w:rFonts w:ascii="Consolas" w:cs="Consolas" w:eastAsia="Consolas" w:hAnsi="Consolas"/>
          <w:color w:val="0A3D62"/>
          <w:sz w:val="19"/>
          <w:szCs w:val="19"/>
        </w:rPr>
        <w:t xml:space="preserve">requirements.txt</w:t>
      </w:r>
      <w:r>
        <w:rPr>
          <w:color w:val="1A1A2E"/>
          <w:sz w:val="21"/>
          <w:szCs w:val="21"/>
        </w:rPr>
        <w:t xml:space="preserve"> / </w:t>
      </w:r>
      <w:r>
        <w:rPr>
          <w:rFonts w:ascii="Consolas" w:cs="Consolas" w:eastAsia="Consolas" w:hAnsi="Consolas"/>
          <w:color w:val="0A3D62"/>
          <w:sz w:val="19"/>
          <w:szCs w:val="19"/>
        </w:rPr>
        <w:t xml:space="preserve">pyproject.toml</w:t>
      </w:r>
      <w:r>
        <w:rPr>
          <w:color w:val="1A1A2E"/>
          <w:sz w:val="21"/>
          <w:szCs w:val="21"/>
        </w:rPr>
        <w:t xml:space="preserve"> listing a web framework (fastapi) and the LLM client used through Mesh (openai).</w:t>
      </w:r>
    </w:p>
    <w:p>
      <w:pPr>
        <w:pStyle w:val="ListParagraph"/>
        <w:numPr>
          <w:ilvl w:val="0"/>
          <w:numId w:val="2"/>
        </w:numPr>
        <w:spacing w:after="70" w:line="264"/>
      </w:pPr>
      <w:r>
        <w:rPr>
          <w:color w:val="1A1A2E"/>
          <w:sz w:val="21"/>
          <w:szCs w:val="21"/>
        </w:rPr>
        <w:t xml:space="preserve">A </w:t>
      </w:r>
      <w:r>
        <w:rPr>
          <w:rFonts w:ascii="Consolas" w:cs="Consolas" w:eastAsia="Consolas" w:hAnsi="Consolas"/>
          <w:color w:val="0A3D62"/>
          <w:sz w:val="19"/>
          <w:szCs w:val="19"/>
        </w:rPr>
        <w:t xml:space="preserve">README.md</w:t>
      </w:r>
      <w:r>
        <w:rPr>
          <w:color w:val="1A1A2E"/>
          <w:sz w:val="21"/>
          <w:szCs w:val="21"/>
        </w:rPr>
        <w:t xml:space="preserve"> describing what was built, the architecture, setup/run steps, which bonus features were implemented, and the catalog scope — explicitly, that a 1,000–2,000-product working set of the source dataset is used (see Section 9.1).</w:t>
      </w:r>
    </w:p>
    <w:p>
      <w:pPr>
        <w:pStyle w:val="ListParagraph"/>
        <w:numPr>
          <w:ilvl w:val="0"/>
          <w:numId w:val="2"/>
        </w:numPr>
        <w:spacing w:after="70" w:line="264"/>
      </w:pPr>
      <w:r>
        <w:rPr>
          <w:color w:val="1A1A2E"/>
          <w:sz w:val="21"/>
          <w:szCs w:val="21"/>
        </w:rPr>
        <w:t xml:space="preserve">A </w:t>
      </w:r>
      <w:r>
        <w:rPr>
          <w:rFonts w:ascii="Consolas" w:cs="Consolas" w:eastAsia="Consolas" w:hAnsi="Consolas"/>
          <w:color w:val="0A3D62"/>
          <w:sz w:val="19"/>
          <w:szCs w:val="19"/>
        </w:rPr>
        <w:t xml:space="preserve">.gitignore</w:t>
      </w:r>
      <w:r>
        <w:rPr>
          <w:color w:val="1A1A2E"/>
          <w:sz w:val="21"/>
          <w:szCs w:val="21"/>
        </w:rPr>
        <w:t xml:space="preserve"> that includes </w:t>
      </w:r>
      <w:r>
        <w:rPr>
          <w:rFonts w:ascii="Consolas" w:cs="Consolas" w:eastAsia="Consolas" w:hAnsi="Consolas"/>
          <w:color w:val="0A3D62"/>
          <w:sz w:val="19"/>
          <w:szCs w:val="19"/>
        </w:rPr>
        <w:t xml:space="preserve">.env</w:t>
      </w:r>
      <w:r>
        <w:rPr>
          <w:color w:val="1A1A2E"/>
          <w:sz w:val="21"/>
          <w:szCs w:val="21"/>
        </w:rPr>
        <w:t xml:space="preserve"> — secrets are never committed.</w:t>
      </w:r>
    </w:p>
    <w:p>
      <w:pPr>
        <w:pStyle w:val="Heading2"/>
        <w:spacing w:after="100" w:before="220"/>
      </w:pPr>
      <w:r>
        <w:rPr>
          <w:b/>
          <w:bCs/>
          <w:color w:val="1A1A2E"/>
          <w:sz w:val="25"/>
          <w:szCs w:val="25"/>
        </w:rPr>
        <w:t xml:space="preserve">10.2  Required Secrets</w:t>
      </w:r>
    </w:p>
    <w:p>
      <w:pPr>
        <w:pStyle w:val="ListParagraph"/>
        <w:numPr>
          <w:ilvl w:val="0"/>
          <w:numId w:val="2"/>
        </w:numPr>
        <w:spacing w:after="70" w:line="264"/>
      </w:pPr>
      <w:r>
        <w:rPr>
          <w:b/>
          <w:bCs/>
          <w:color w:val="1A1A2E"/>
          <w:sz w:val="21"/>
          <w:szCs w:val="21"/>
        </w:rPr>
        <w:t xml:space="preserve">MESH_API_KEY </w:t>
      </w:r>
      <w:r>
        <w:rPr>
          <w:color w:val="1A1A2E"/>
          <w:sz w:val="21"/>
          <w:szCs w:val="21"/>
        </w:rPr>
        <w:t xml:space="preserve">— the Mesh key; mandatory, every AI call routes through Mesh.</w:t>
      </w:r>
    </w:p>
    <w:p>
      <w:pPr>
        <w:pStyle w:val="ListParagraph"/>
        <w:numPr>
          <w:ilvl w:val="0"/>
          <w:numId w:val="2"/>
        </w:numPr>
        <w:spacing w:after="70" w:line="264"/>
      </w:pPr>
      <w:r>
        <w:rPr>
          <w:b/>
          <w:bCs/>
          <w:color w:val="1A1A2E"/>
          <w:sz w:val="21"/>
          <w:szCs w:val="21"/>
        </w:rPr>
        <w:t xml:space="preserve">SUBMISSION_TOKEN </w:t>
      </w:r>
      <w:r>
        <w:rPr>
          <w:color w:val="1A1A2E"/>
          <w:sz w:val="21"/>
          <w:szCs w:val="21"/>
        </w:rPr>
        <w:t xml:space="preserve">— shown on the participant dashboard after registration.</w:t>
      </w:r>
    </w:p>
    <w:p>
      <w:pPr>
        <w:pStyle w:val="Heading2"/>
        <w:spacing w:after="100" w:before="220"/>
      </w:pPr>
      <w:r>
        <w:rPr>
          <w:b/>
          <w:bCs/>
          <w:color w:val="1A1A2E"/>
          <w:sz w:val="25"/>
          <w:szCs w:val="25"/>
        </w:rPr>
        <w:t xml:space="preserve">10.3  Automated Checks</w:t>
      </w:r>
    </w:p>
    <w:p>
      <w:pPr>
        <w:pStyle w:val="ListParagraph"/>
        <w:numPr>
          <w:ilvl w:val="0"/>
          <w:numId w:val="2"/>
        </w:numPr>
        <w:spacing w:after="70" w:line="264"/>
      </w:pPr>
      <w:r>
        <w:rPr>
          <w:b/>
          <w:bCs/>
          <w:color w:val="1A1A2E"/>
          <w:sz w:val="21"/>
          <w:szCs w:val="21"/>
        </w:rPr>
        <w:t xml:space="preserve">Critical (must pass): </w:t>
      </w:r>
      <w:r>
        <w:rPr>
          <w:color w:val="1A1A2E"/>
          <w:sz w:val="21"/>
          <w:szCs w:val="21"/>
        </w:rPr>
        <w:t xml:space="preserve">code compiles (no syntax errors); dependencies list a web framework + an LLM client.</w:t>
      </w:r>
    </w:p>
    <w:p>
      <w:pPr>
        <w:pStyle w:val="ListParagraph"/>
        <w:numPr>
          <w:ilvl w:val="0"/>
          <w:numId w:val="2"/>
        </w:numPr>
        <w:spacing w:after="70" w:line="264"/>
      </w:pPr>
      <w:r>
        <w:rPr>
          <w:b/>
          <w:bCs/>
          <w:color w:val="1A1A2E"/>
          <w:sz w:val="21"/>
          <w:szCs w:val="21"/>
        </w:rPr>
        <w:t xml:space="preserve">Advisory (feedback only): </w:t>
      </w:r>
      <w:r>
        <w:rPr>
          <w:color w:val="1A1A2E"/>
          <w:sz w:val="21"/>
          <w:szCs w:val="21"/>
        </w:rPr>
        <w:t xml:space="preserve">no committed .env; README present; .gitignore ignores .env.</w:t>
      </w:r>
    </w:p>
    <w:tbl>
      <w:tblPr>
        <w:tblW w:type="pct" w:w="100%"/>
        <w:tblBorders>
          <w:top w:val="none"/>
          <w:left w:val="single" w:color="B4530A" w:sz="18"/>
          <w:bottom w:val="none"/>
          <w:right w:val="none"/>
          <w:insideH w:val="none"/>
          <w:insideV w:val="none"/>
        </w:tblBorders>
      </w:tblPr>
      <w:tblGrid>
        <w:gridCol w:w="9360"/>
      </w:tblGrid>
      <w:tr>
        <w:tc>
          <w:tcPr>
            <w:tcW w:type="dxa" w:w="9360"/>
            <w:shd w:fill="FBEEE6" w:val="clear"/>
            <w:tcMar>
              <w:top w:type="dxa" w:w="120"/>
              <w:left w:type="dxa" w:w="160"/>
              <w:bottom w:type="dxa" w:w="120"/>
              <w:right w:type="dxa" w:w="160"/>
            </w:tcMar>
          </w:tcPr>
          <w:p>
            <w:pPr>
              <w:spacing w:after="40"/>
            </w:pPr>
            <w:r>
              <w:rPr>
                <w:b/>
                <w:bCs/>
                <w:color w:val="B4530A"/>
                <w:sz w:val="20"/>
                <w:szCs w:val="20"/>
              </w:rPr>
              <w:t xml:space="preserve">Safety note on the CI workflow file</w:t>
            </w:r>
          </w:p>
          <w:p>
            <w:pPr>
              <w:spacing w:after="40"/>
            </w:pPr>
            <w:r>
              <w:rPr>
                <w:color w:val="1A1A2E"/>
                <w:sz w:val="20"/>
                <w:szCs w:val="20"/>
              </w:rPr>
              <w:t xml:space="preserve">The mandated workflow file (</w:t>
            </w:r>
            <w:r>
              <w:rPr>
                <w:rFonts w:ascii="Consolas" w:cs="Consolas" w:eastAsia="Consolas" w:hAnsi="Consolas"/>
                <w:color w:val="0A3D62"/>
                <w:sz w:val="19"/>
                <w:szCs w:val="19"/>
              </w:rPr>
              <w:t xml:space="preserve">.github/workflows/smartreco-checks.yml</w:t>
            </w:r>
            <w:r>
              <w:rPr>
                <w:color w:val="1A1A2E"/>
                <w:sz w:val="20"/>
                <w:szCs w:val="20"/>
              </w:rPr>
              <w:t xml:space="preserve">) must be downloaded only from the official hackathon dashboard URL and added to the repo by the participant. Do not run a workflow file obtained from any other source.</w:t>
            </w:r>
          </w:p>
        </w:tc>
      </w:tr>
    </w:tbl>
    <w:p>
      <w:r>
        <w:br w:type="page"/>
      </w:r>
    </w:p>
    <w:p>
      <w:pPr>
        <w:pStyle w:val="Heading1"/>
        <w:spacing w:after="140" w:before="320"/>
      </w:pPr>
      <w:r>
        <w:rPr>
          <w:b/>
          <w:bCs/>
          <w:color w:val="0F4C81"/>
          <w:sz w:val="30"/>
          <w:szCs w:val="30"/>
        </w:rPr>
        <w:t xml:space="preserve">11.  Phased Build Plan</w:t>
      </w:r>
    </w:p>
    <w:p>
      <w:pPr>
        <w:spacing w:after="120" w:line="276"/>
        <w:jc w:val="both"/>
      </w:pPr>
      <w:r>
        <w:rPr>
          <w:color w:val="1A1A2E"/>
          <w:sz w:val="21"/>
          <w:szCs w:val="21"/>
        </w:rPr>
        <w:t xml:space="preserve">Sequenced to de-risk the make-or-break item first (Mesh), then stand up the grounded pipeline, then layer bonuses. Each phase produces something runnable.</w:t>
      </w:r>
    </w:p>
    <w:tbl>
      <w:tblPr>
        <w:tblW w:type="dxa" w:w="9360"/>
        <w:tblBorders>
          <w:top w:val="single" w:color="C7D0DA" w:sz="2"/>
          <w:left w:val="single" w:color="C7D0DA" w:sz="2"/>
          <w:bottom w:val="single" w:color="C7D0DA" w:sz="2"/>
          <w:right w:val="single" w:color="C7D0DA" w:sz="2"/>
          <w:insideH w:val="single" w:color="DBE2EA" w:sz="1"/>
          <w:insideV w:val="single" w:color="DBE2EA" w:sz="1"/>
        </w:tblBorders>
      </w:tblPr>
      <w:tblGrid>
        <w:gridCol w:w="1700"/>
        <w:gridCol w:w="5360"/>
        <w:gridCol w:w="2300"/>
      </w:tblGrid>
      <w:tr>
        <w:trPr>
          <w:tblHeader/>
        </w:trPr>
        <w:tc>
          <w:tcPr>
            <w:tcW w:type="dxa" w:w="1700"/>
            <w:shd w:fill="0F4C81" w:val="clear"/>
            <w:tcMar>
              <w:top w:type="dxa" w:w="80"/>
              <w:left w:type="dxa" w:w="110"/>
              <w:bottom w:type="dxa" w:w="80"/>
              <w:right w:type="dxa" w:w="110"/>
            </w:tcMar>
          </w:tcPr>
          <w:p>
            <w:r>
              <w:rPr>
                <w:b/>
                <w:bCs/>
                <w:color w:val="FFFFFF"/>
                <w:sz w:val="19"/>
                <w:szCs w:val="19"/>
              </w:rPr>
              <w:t xml:space="preserve">Phase</w:t>
            </w:r>
          </w:p>
        </w:tc>
        <w:tc>
          <w:tcPr>
            <w:tcW w:type="dxa" w:w="5360"/>
            <w:shd w:fill="0F4C81" w:val="clear"/>
            <w:tcMar>
              <w:top w:type="dxa" w:w="80"/>
              <w:left w:type="dxa" w:w="110"/>
              <w:bottom w:type="dxa" w:w="80"/>
              <w:right w:type="dxa" w:w="110"/>
            </w:tcMar>
          </w:tcPr>
          <w:p>
            <w:r>
              <w:rPr>
                <w:b/>
                <w:bCs/>
                <w:color w:val="FFFFFF"/>
                <w:sz w:val="19"/>
                <w:szCs w:val="19"/>
              </w:rPr>
              <w:t xml:space="preserve">Deliverable</w:t>
            </w:r>
          </w:p>
        </w:tc>
        <w:tc>
          <w:tcPr>
            <w:tcW w:type="dxa" w:w="2300"/>
            <w:shd w:fill="0F4C81" w:val="clear"/>
            <w:tcMar>
              <w:top w:type="dxa" w:w="80"/>
              <w:left w:type="dxa" w:w="110"/>
              <w:bottom w:type="dxa" w:w="80"/>
              <w:right w:type="dxa" w:w="110"/>
            </w:tcMar>
          </w:tcPr>
          <w:p>
            <w:r>
              <w:rPr>
                <w:b/>
                <w:bCs/>
                <w:color w:val="FFFFFF"/>
                <w:sz w:val="19"/>
                <w:szCs w:val="19"/>
              </w:rPr>
              <w:t xml:space="preserve">Key requirements</w:t>
            </w:r>
          </w:p>
        </w:tc>
      </w:tr>
      <w:tr>
        <w:tc>
          <w:tcPr>
            <w:tcW w:type="dxa" w:w="1700"/>
            <w:shd w:fill="FFFFFF" w:val="clear"/>
            <w:tcMar>
              <w:top w:type="dxa" w:w="70"/>
              <w:left w:type="dxa" w:w="110"/>
              <w:bottom w:type="dxa" w:w="70"/>
              <w:right w:type="dxa" w:w="110"/>
            </w:tcMar>
          </w:tcPr>
          <w:p>
            <w:pPr>
              <w:spacing w:after="20"/>
            </w:pPr>
            <w:r>
              <w:rPr>
                <w:color w:val="1A1A2E"/>
                <w:sz w:val="18"/>
                <w:szCs w:val="18"/>
              </w:rPr>
              <w:t xml:space="preserve">0 — Mesh spike</w:t>
            </w:r>
          </w:p>
        </w:tc>
        <w:tc>
          <w:tcPr>
            <w:tcW w:type="dxa" w:w="5360"/>
            <w:shd w:fill="FFFFFF" w:val="clear"/>
            <w:tcMar>
              <w:top w:type="dxa" w:w="70"/>
              <w:left w:type="dxa" w:w="110"/>
              <w:bottom w:type="dxa" w:w="70"/>
              <w:right w:type="dxa" w:w="110"/>
            </w:tcMar>
          </w:tcPr>
          <w:p>
            <w:pPr>
              <w:spacing w:after="20"/>
            </w:pPr>
            <w:r>
              <w:rPr>
                <w:color w:val="1A1A2E"/>
                <w:sz w:val="18"/>
                <w:szCs w:val="18"/>
              </w:rPr>
              <w:t xml:space="preserve">Minimal script: one embedding + one chat call through Mesh via the openai SDK, key from .env.</w:t>
            </w:r>
          </w:p>
        </w:tc>
        <w:tc>
          <w:tcPr>
            <w:tcW w:type="dxa" w:w="2300"/>
            <w:shd w:fill="FFFFFF" w:val="clear"/>
            <w:tcMar>
              <w:top w:type="dxa" w:w="70"/>
              <w:left w:type="dxa" w:w="110"/>
              <w:bottom w:type="dxa" w:w="70"/>
              <w:right w:type="dxa" w:w="110"/>
            </w:tcMar>
          </w:tcPr>
          <w:p>
            <w:pPr>
              <w:spacing w:after="20"/>
            </w:pPr>
            <w:r>
              <w:rPr>
                <w:color w:val="1A1A2E"/>
                <w:sz w:val="18"/>
                <w:szCs w:val="18"/>
              </w:rPr>
              <w:t xml:space="preserve">Sec. 3</w:t>
            </w:r>
          </w:p>
        </w:tc>
      </w:tr>
      <w:tr>
        <w:tc>
          <w:tcPr>
            <w:tcW w:type="dxa" w:w="1700"/>
            <w:shd w:fill="F4F7FA" w:val="clear"/>
            <w:tcMar>
              <w:top w:type="dxa" w:w="70"/>
              <w:left w:type="dxa" w:w="110"/>
              <w:bottom w:type="dxa" w:w="70"/>
              <w:right w:type="dxa" w:w="110"/>
            </w:tcMar>
          </w:tcPr>
          <w:p>
            <w:pPr>
              <w:spacing w:after="20"/>
            </w:pPr>
            <w:r>
              <w:rPr>
                <w:color w:val="1A1A2E"/>
                <w:sz w:val="18"/>
                <w:szCs w:val="18"/>
              </w:rPr>
              <w:t xml:space="preserve">1 — Foundation</w:t>
            </w:r>
          </w:p>
        </w:tc>
        <w:tc>
          <w:tcPr>
            <w:tcW w:type="dxa" w:w="5360"/>
            <w:shd w:fill="F4F7FA" w:val="clear"/>
            <w:tcMar>
              <w:top w:type="dxa" w:w="70"/>
              <w:left w:type="dxa" w:w="110"/>
              <w:bottom w:type="dxa" w:w="70"/>
              <w:right w:type="dxa" w:w="110"/>
            </w:tcMar>
          </w:tcPr>
          <w:p>
            <w:pPr>
              <w:spacing w:after="20"/>
            </w:pPr>
            <w:r>
              <w:rPr>
                <w:color w:val="1A1A2E"/>
                <w:sz w:val="18"/>
                <w:szCs w:val="18"/>
              </w:rPr>
              <w:t xml:space="preserve">FastAPI app (uv), SQLAlchemy models, auth + roles, Jinja2 shell.</w:t>
            </w:r>
          </w:p>
        </w:tc>
        <w:tc>
          <w:tcPr>
            <w:tcW w:type="dxa" w:w="2300"/>
            <w:shd w:fill="F4F7FA" w:val="clear"/>
            <w:tcMar>
              <w:top w:type="dxa" w:w="70"/>
              <w:left w:type="dxa" w:w="110"/>
              <w:bottom w:type="dxa" w:w="70"/>
              <w:right w:type="dxa" w:w="110"/>
            </w:tcMar>
          </w:tcPr>
          <w:p>
            <w:pPr>
              <w:spacing w:after="20"/>
            </w:pPr>
            <w:r>
              <w:rPr>
                <w:color w:val="1A1A2E"/>
                <w:sz w:val="18"/>
                <w:szCs w:val="18"/>
              </w:rPr>
              <w:t xml:space="preserve">FR-1</w:t>
            </w:r>
          </w:p>
        </w:tc>
      </w:tr>
      <w:tr>
        <w:tc>
          <w:tcPr>
            <w:tcW w:type="dxa" w:w="1700"/>
            <w:shd w:fill="FFFFFF" w:val="clear"/>
            <w:tcMar>
              <w:top w:type="dxa" w:w="70"/>
              <w:left w:type="dxa" w:w="110"/>
              <w:bottom w:type="dxa" w:w="70"/>
              <w:right w:type="dxa" w:w="110"/>
            </w:tcMar>
          </w:tcPr>
          <w:p>
            <w:pPr>
              <w:spacing w:after="20"/>
            </w:pPr>
            <w:r>
              <w:rPr>
                <w:color w:val="1A1A2E"/>
                <w:sz w:val="18"/>
                <w:szCs w:val="18"/>
              </w:rPr>
              <w:t xml:space="preserve">2 — Catalog + dual-write</w:t>
            </w:r>
          </w:p>
        </w:tc>
        <w:tc>
          <w:tcPr>
            <w:tcW w:type="dxa" w:w="5360"/>
            <w:shd w:fill="FFFFFF" w:val="clear"/>
            <w:tcMar>
              <w:top w:type="dxa" w:w="70"/>
              <w:left w:type="dxa" w:w="110"/>
              <w:bottom w:type="dxa" w:w="70"/>
              <w:right w:type="dxa" w:w="110"/>
            </w:tcMar>
          </w:tcPr>
          <w:p>
            <w:pPr>
              <w:spacing w:after="20"/>
            </w:pPr>
            <w:r>
              <w:rPr>
                <w:color w:val="1A1A2E"/>
                <w:sz w:val="18"/>
                <w:szCs w:val="18"/>
              </w:rPr>
              <w:t xml:space="preserve">Admin CRUD; seed script; products dual-written to SQLite + Qdrant, kept in sync.</w:t>
            </w:r>
          </w:p>
        </w:tc>
        <w:tc>
          <w:tcPr>
            <w:tcW w:type="dxa" w:w="2300"/>
            <w:shd w:fill="FFFFFF" w:val="clear"/>
            <w:tcMar>
              <w:top w:type="dxa" w:w="70"/>
              <w:left w:type="dxa" w:w="110"/>
              <w:bottom w:type="dxa" w:w="70"/>
              <w:right w:type="dxa" w:w="110"/>
            </w:tcMar>
          </w:tcPr>
          <w:p>
            <w:pPr>
              <w:spacing w:after="20"/>
            </w:pPr>
            <w:r>
              <w:rPr>
                <w:color w:val="1A1A2E"/>
                <w:sz w:val="18"/>
                <w:szCs w:val="18"/>
              </w:rPr>
              <w:t xml:space="preserve">FR-2, Sec. 9</w:t>
            </w:r>
          </w:p>
        </w:tc>
      </w:tr>
      <w:tr>
        <w:tc>
          <w:tcPr>
            <w:tcW w:type="dxa" w:w="1700"/>
            <w:shd w:fill="F4F7FA" w:val="clear"/>
            <w:tcMar>
              <w:top w:type="dxa" w:w="70"/>
              <w:left w:type="dxa" w:w="110"/>
              <w:bottom w:type="dxa" w:w="70"/>
              <w:right w:type="dxa" w:w="110"/>
            </w:tcMar>
          </w:tcPr>
          <w:p>
            <w:pPr>
              <w:spacing w:after="20"/>
            </w:pPr>
            <w:r>
              <w:rPr>
                <w:color w:val="1A1A2E"/>
                <w:sz w:val="18"/>
                <w:szCs w:val="18"/>
              </w:rPr>
              <w:t xml:space="preserve">3 — Tracking</w:t>
            </w:r>
          </w:p>
        </w:tc>
        <w:tc>
          <w:tcPr>
            <w:tcW w:type="dxa" w:w="5360"/>
            <w:shd w:fill="F4F7FA" w:val="clear"/>
            <w:tcMar>
              <w:top w:type="dxa" w:w="70"/>
              <w:left w:type="dxa" w:w="110"/>
              <w:bottom w:type="dxa" w:w="70"/>
              <w:right w:type="dxa" w:w="110"/>
            </w:tcMar>
          </w:tcPr>
          <w:p>
            <w:pPr>
              <w:spacing w:after="20"/>
            </w:pPr>
            <w:r>
              <w:rPr>
                <w:color w:val="1A1A2E"/>
                <w:sz w:val="18"/>
                <w:szCs w:val="18"/>
              </w:rPr>
              <w:t xml:space="preserve">Vanilla-JS batched/throttled tracker; non-blocking ingestion endpoint + storage.</w:t>
            </w:r>
          </w:p>
        </w:tc>
        <w:tc>
          <w:tcPr>
            <w:tcW w:type="dxa" w:w="2300"/>
            <w:shd w:fill="F4F7FA" w:val="clear"/>
            <w:tcMar>
              <w:top w:type="dxa" w:w="70"/>
              <w:left w:type="dxa" w:w="110"/>
              <w:bottom w:type="dxa" w:w="70"/>
              <w:right w:type="dxa" w:w="110"/>
            </w:tcMar>
          </w:tcPr>
          <w:p>
            <w:pPr>
              <w:spacing w:after="20"/>
            </w:pPr>
            <w:r>
              <w:rPr>
                <w:color w:val="1A1A2E"/>
                <w:sz w:val="18"/>
                <w:szCs w:val="18"/>
              </w:rPr>
              <w:t xml:space="preserve">FR-3</w:t>
            </w:r>
          </w:p>
        </w:tc>
      </w:tr>
      <w:tr>
        <w:tc>
          <w:tcPr>
            <w:tcW w:type="dxa" w:w="1700"/>
            <w:shd w:fill="FFFFFF" w:val="clear"/>
            <w:tcMar>
              <w:top w:type="dxa" w:w="70"/>
              <w:left w:type="dxa" w:w="110"/>
              <w:bottom w:type="dxa" w:w="70"/>
              <w:right w:type="dxa" w:w="110"/>
            </w:tcMar>
          </w:tcPr>
          <w:p>
            <w:pPr>
              <w:spacing w:after="20"/>
            </w:pPr>
            <w:r>
              <w:rPr>
                <w:color w:val="1A1A2E"/>
                <w:sz w:val="18"/>
                <w:szCs w:val="18"/>
              </w:rPr>
              <w:t xml:space="preserve">4 — Agent (core)</w:t>
            </w:r>
          </w:p>
        </w:tc>
        <w:tc>
          <w:tcPr>
            <w:tcW w:type="dxa" w:w="5360"/>
            <w:shd w:fill="FFFFFF" w:val="clear"/>
            <w:tcMar>
              <w:top w:type="dxa" w:w="70"/>
              <w:left w:type="dxa" w:w="110"/>
              <w:bottom w:type="dxa" w:w="70"/>
              <w:right w:type="dxa" w:w="110"/>
            </w:tcMar>
          </w:tcPr>
          <w:p>
            <w:pPr>
              <w:spacing w:after="20"/>
            </w:pPr>
            <w:r>
              <w:rPr>
                <w:color w:val="1A1A2E"/>
                <w:sz w:val="18"/>
                <w:szCs w:val="18"/>
              </w:rPr>
              <w:t xml:space="preserve">Profile → Mesh embed → Qdrant retrieve → Mesh generate → store → display.</w:t>
            </w:r>
          </w:p>
        </w:tc>
        <w:tc>
          <w:tcPr>
            <w:tcW w:type="dxa" w:w="2300"/>
            <w:shd w:fill="FFFFFF" w:val="clear"/>
            <w:tcMar>
              <w:top w:type="dxa" w:w="70"/>
              <w:left w:type="dxa" w:w="110"/>
              <w:bottom w:type="dxa" w:w="70"/>
              <w:right w:type="dxa" w:w="110"/>
            </w:tcMar>
          </w:tcPr>
          <w:p>
            <w:pPr>
              <w:spacing w:after="20"/>
            </w:pPr>
            <w:r>
              <w:rPr>
                <w:color w:val="1A1A2E"/>
                <w:sz w:val="18"/>
                <w:szCs w:val="18"/>
              </w:rPr>
              <w:t xml:space="preserve">FR-4, FR-5</w:t>
            </w:r>
          </w:p>
        </w:tc>
      </w:tr>
      <w:tr>
        <w:tc>
          <w:tcPr>
            <w:tcW w:type="dxa" w:w="1700"/>
            <w:shd w:fill="F4F7FA" w:val="clear"/>
            <w:tcMar>
              <w:top w:type="dxa" w:w="70"/>
              <w:left w:type="dxa" w:w="110"/>
              <w:bottom w:type="dxa" w:w="70"/>
              <w:right w:type="dxa" w:w="110"/>
            </w:tcMar>
          </w:tcPr>
          <w:p>
            <w:pPr>
              <w:spacing w:after="20"/>
            </w:pPr>
            <w:r>
              <w:rPr>
                <w:color w:val="1A1A2E"/>
                <w:sz w:val="18"/>
                <w:szCs w:val="18"/>
              </w:rPr>
              <w:t xml:space="preserve">5 — Triggers + cache</w:t>
            </w:r>
          </w:p>
        </w:tc>
        <w:tc>
          <w:tcPr>
            <w:tcW w:type="dxa" w:w="5360"/>
            <w:shd w:fill="F4F7FA" w:val="clear"/>
            <w:tcMar>
              <w:top w:type="dxa" w:w="70"/>
              <w:left w:type="dxa" w:w="110"/>
              <w:bottom w:type="dxa" w:w="70"/>
              <w:right w:type="dxa" w:w="110"/>
            </w:tcMar>
          </w:tcPr>
          <w:p>
            <w:pPr>
              <w:spacing w:after="20"/>
            </w:pPr>
            <w:r>
              <w:rPr>
                <w:color w:val="1A1A2E"/>
                <w:sz w:val="18"/>
                <w:szCs w:val="18"/>
              </w:rPr>
              <w:t xml:space="preserve">Hybrid event-threshold + manual refresh; caching to avoid redundant LLM calls.</w:t>
            </w:r>
          </w:p>
        </w:tc>
        <w:tc>
          <w:tcPr>
            <w:tcW w:type="dxa" w:w="2300"/>
            <w:shd w:fill="F4F7FA" w:val="clear"/>
            <w:tcMar>
              <w:top w:type="dxa" w:w="70"/>
              <w:left w:type="dxa" w:w="110"/>
              <w:bottom w:type="dxa" w:w="70"/>
              <w:right w:type="dxa" w:w="110"/>
            </w:tcMar>
          </w:tcPr>
          <w:p>
            <w:pPr>
              <w:spacing w:after="20"/>
            </w:pPr>
            <w:r>
              <w:rPr>
                <w:color w:val="1A1A2E"/>
                <w:sz w:val="18"/>
                <w:szCs w:val="18"/>
              </w:rPr>
              <w:t xml:space="preserve">FR-5</w:t>
            </w:r>
          </w:p>
        </w:tc>
      </w:tr>
      <w:tr>
        <w:tc>
          <w:tcPr>
            <w:tcW w:type="dxa" w:w="1700"/>
            <w:shd w:fill="FFFFFF" w:val="clear"/>
            <w:tcMar>
              <w:top w:type="dxa" w:w="70"/>
              <w:left w:type="dxa" w:w="110"/>
              <w:bottom w:type="dxa" w:w="70"/>
              <w:right w:type="dxa" w:w="110"/>
            </w:tcMar>
          </w:tcPr>
          <w:p>
            <w:pPr>
              <w:spacing w:after="20"/>
            </w:pPr>
            <w:r>
              <w:rPr>
                <w:color w:val="1A1A2E"/>
                <w:sz w:val="18"/>
                <w:szCs w:val="18"/>
              </w:rPr>
              <w:t xml:space="preserve">6 — Bonuses</w:t>
            </w:r>
          </w:p>
        </w:tc>
        <w:tc>
          <w:tcPr>
            <w:tcW w:type="dxa" w:w="5360"/>
            <w:shd w:fill="FFFFFF" w:val="clear"/>
            <w:tcMar>
              <w:top w:type="dxa" w:w="70"/>
              <w:left w:type="dxa" w:w="110"/>
              <w:bottom w:type="dxa" w:w="70"/>
              <w:right w:type="dxa" w:w="110"/>
            </w:tcMar>
          </w:tcPr>
          <w:p>
            <w:pPr>
              <w:spacing w:after="20"/>
            </w:pPr>
            <w:r>
              <w:rPr>
                <w:color w:val="1A1A2E"/>
                <w:sz w:val="18"/>
                <w:szCs w:val="18"/>
              </w:rPr>
              <w:t xml:space="preserve">LangGraph agent graph; APScheduler daily email digest; LangSmith tracing; metadata-filtered retrieval.</w:t>
            </w:r>
          </w:p>
        </w:tc>
        <w:tc>
          <w:tcPr>
            <w:tcW w:type="dxa" w:w="2300"/>
            <w:shd w:fill="FFFFFF" w:val="clear"/>
            <w:tcMar>
              <w:top w:type="dxa" w:w="70"/>
              <w:left w:type="dxa" w:w="110"/>
              <w:bottom w:type="dxa" w:w="70"/>
              <w:right w:type="dxa" w:w="110"/>
            </w:tcMar>
          </w:tcPr>
          <w:p>
            <w:pPr>
              <w:spacing w:after="20"/>
            </w:pPr>
            <w:r>
              <w:rPr>
                <w:color w:val="1A1A2E"/>
                <w:sz w:val="18"/>
                <w:szCs w:val="18"/>
              </w:rPr>
              <w:t xml:space="preserve">FR-4.5, FR-6, FR-7</w:t>
            </w:r>
          </w:p>
        </w:tc>
      </w:tr>
      <w:tr>
        <w:tc>
          <w:tcPr>
            <w:tcW w:type="dxa" w:w="1700"/>
            <w:shd w:fill="F4F7FA" w:val="clear"/>
            <w:tcMar>
              <w:top w:type="dxa" w:w="70"/>
              <w:left w:type="dxa" w:w="110"/>
              <w:bottom w:type="dxa" w:w="70"/>
              <w:right w:type="dxa" w:w="110"/>
            </w:tcMar>
          </w:tcPr>
          <w:p>
            <w:pPr>
              <w:spacing w:after="20"/>
            </w:pPr>
            <w:r>
              <w:rPr>
                <w:color w:val="1A1A2E"/>
                <w:sz w:val="18"/>
                <w:szCs w:val="18"/>
              </w:rPr>
              <w:t xml:space="preserve">7 — Polish + submit</w:t>
            </w:r>
          </w:p>
        </w:tc>
        <w:tc>
          <w:tcPr>
            <w:tcW w:type="dxa" w:w="5360"/>
            <w:shd w:fill="F4F7FA" w:val="clear"/>
            <w:tcMar>
              <w:top w:type="dxa" w:w="70"/>
              <w:left w:type="dxa" w:w="110"/>
              <w:bottom w:type="dxa" w:w="70"/>
              <w:right w:type="dxa" w:w="110"/>
            </w:tcMar>
          </w:tcPr>
          <w:p>
            <w:pPr>
              <w:spacing w:after="20"/>
            </w:pPr>
            <w:r>
              <w:rPr>
                <w:color w:val="1A1A2E"/>
                <w:sz w:val="18"/>
                <w:szCs w:val="18"/>
              </w:rPr>
              <w:t xml:space="preserve">README, .env.example, CI workflow + secrets, clean-up; optional deploy + demo video.</w:t>
            </w:r>
          </w:p>
        </w:tc>
        <w:tc>
          <w:tcPr>
            <w:tcW w:type="dxa" w:w="2300"/>
            <w:shd w:fill="F4F7FA" w:val="clear"/>
            <w:tcMar>
              <w:top w:type="dxa" w:w="70"/>
              <w:left w:type="dxa" w:w="110"/>
              <w:bottom w:type="dxa" w:w="70"/>
              <w:right w:type="dxa" w:w="110"/>
            </w:tcMar>
          </w:tcPr>
          <w:p>
            <w:pPr>
              <w:spacing w:after="20"/>
            </w:pPr>
            <w:r>
              <w:rPr>
                <w:color w:val="1A1A2E"/>
                <w:sz w:val="18"/>
                <w:szCs w:val="18"/>
              </w:rPr>
              <w:t xml:space="preserve">Sec. 10</w:t>
            </w:r>
          </w:p>
        </w:tc>
      </w:tr>
    </w:tbl>
    <w:tbl>
      <w:tblPr>
        <w:tblW w:type="pct" w:w="100%"/>
        <w:tblBorders>
          <w:top w:val="none"/>
          <w:left w:val="single" w:color="1B7A6E" w:sz="18"/>
          <w:bottom w:val="none"/>
          <w:right w:val="none"/>
          <w:insideH w:val="none"/>
          <w:insideV w:val="none"/>
        </w:tblBorders>
      </w:tblPr>
      <w:tblGrid>
        <w:gridCol w:w="9360"/>
      </w:tblGrid>
      <w:tr>
        <w:tc>
          <w:tcPr>
            <w:tcW w:type="dxa" w:w="9360"/>
            <w:shd w:fill="E7F3F0" w:val="clear"/>
            <w:tcMar>
              <w:top w:type="dxa" w:w="120"/>
              <w:left w:type="dxa" w:w="160"/>
              <w:bottom w:type="dxa" w:w="120"/>
              <w:right w:type="dxa" w:w="160"/>
            </w:tcMar>
          </w:tcPr>
          <w:p>
            <w:pPr>
              <w:spacing w:after="40"/>
            </w:pPr>
            <w:r>
              <w:rPr>
                <w:b/>
                <w:bCs/>
                <w:color w:val="1B7A6E"/>
                <w:sz w:val="20"/>
                <w:szCs w:val="20"/>
              </w:rPr>
              <w:t xml:space="preserve">Definition of a winning submission</w:t>
            </w:r>
          </w:p>
          <w:p>
            <w:pPr>
              <w:spacing w:after="40"/>
            </w:pPr>
            <w:r>
              <w:rPr>
                <w:color w:val="1A1A2E"/>
                <w:sz w:val="20"/>
                <w:szCs w:val="20"/>
              </w:rPr>
              <w:t xml:space="preserve">Rich behavioral tracking that doesn’t slow the site; products genuinely dual-written to SQL + Qdrant and kept in sync; an agent that uses real behavior to drive catalog-grounded recommendations (not popularity lists); persuasive copy tailored to the specific user; and visible production thinking — efficient triggering, caching, batched events, and scheduled delivery. Every AI call routes through Mesh.</w:t>
            </w:r>
          </w:p>
        </w:tc>
      </w:tr>
    </w:tbl>
    <w:p>
      <w:pPr>
        <w:spacing w:after="200"/>
      </w:pPr>
    </w:p>
    <w:p>
      <w:pPr>
        <w:pBdr>
          <w:top w:val="single" w:color="C7D0DA" w:sz="3" w:space="6"/>
        </w:pBdr>
        <w:spacing w:before="200"/>
        <w:jc w:val="center"/>
      </w:pPr>
      <w:r>
        <w:rPr>
          <w:i/>
          <w:iCs/>
          <w:color w:val="5B6270"/>
          <w:sz w:val="19"/>
          <w:szCs w:val="19"/>
        </w:rPr>
        <w:t xml:space="preserve">End of Software Requirements Specification — SmartReco v1.0 (Draft for Approval)</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1" w:sz="3" w:space="4"/>
      </w:pBdr>
      <w:jc w:val="center"/>
    </w:pPr>
    <w:r>
      <w:rPr>
        <w:color w:val="5B6270"/>
        <w:sz w:val="16"/>
        <w:szCs w:val="16"/>
      </w:rPr>
      <w:t xml:space="preserve">Page </w:t>
    </w:r>
    <w:r>
      <w:rPr>
        <w:color w:val="5B6270"/>
        <w:sz w:val="16"/>
        <w:szCs w:val="16"/>
      </w:rPr>
      <w:fldChar w:fldCharType="begin"/>
      <w:instrText xml:space="preserve">PAGE</w:instrText>
      <w:fldChar w:fldCharType="separate"/>
      <w:fldChar w:fldCharType="end"/>
    </w:r>
    <w:r>
      <w:rPr>
        <w:color w:val="5B6270"/>
        <w:sz w:val="16"/>
        <w:szCs w:val="16"/>
      </w:rPr>
      <w:t xml:space="preserve"> of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1" w:sz="3" w:space="4"/>
      </w:pBdr>
      <w:spacing w:after="0"/>
      <w:jc w:val="right"/>
    </w:pPr>
    <w:r>
      <w:rPr>
        <w:color w:val="5B6270"/>
        <w:sz w:val="16"/>
        <w:szCs w:val="16"/>
      </w:rPr>
      <w:t xml:space="preserve">SmartReco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4C81"/>
      </w:rPr>
    </w:lvl>
    <w:lvl w:ilvl="1" w15:tentative="1">
      <w:start w:val="1"/>
      <w:numFmt w:val="bullet"/>
      <w:lvlText w:val="–"/>
      <w:lvlJc w:val="left"/>
      <w:pPr>
        <w:ind w:left="880" w:hanging="260"/>
      </w:pPr>
      <w:rPr>
        <w:color w:val="1B7A6E"/>
      </w:rPr>
    </w:lvl>
  </w:abstractNum>
  <w:abstractNum w:abstractNumId="3" w15:restartNumberingAfterBreak="0">
    <w:multiLevelType w:val="hybridMultilevel"/>
    <w:lvl w:ilvl="0" w15:tentative="1">
      <w:start w:val="1"/>
      <w:numFmt w:val="decimal"/>
      <w:lvlText w:val="%1."/>
      <w:lvlJc w:val="left"/>
      <w:pPr>
        <w:ind w:left="460" w:hanging="260"/>
      </w:pPr>
      <w:rPr>
        <w:b/>
        <w:bCs/>
        <w:color w:val="0F4C8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0F4C81"/>
      <w:sz w:val="30"/>
      <w:szCs w:val="30"/>
    </w:rPr>
  </w:style>
  <w:style w:type="paragraph" w:styleId="Heading2">
    <w:name w:val="Heading 2"/>
    <w:basedOn w:val="Normal"/>
    <w:next w:val="Normal"/>
    <w:qFormat/>
    <w:rPr>
      <w:b/>
      <w:bCs/>
      <w:color w:val="1A1A2E"/>
      <w:sz w:val="25"/>
      <w:szCs w:val="25"/>
    </w:rPr>
  </w:style>
  <w:style w:type="paragraph" w:styleId="Heading3">
    <w:name w:val="Heading 3"/>
    <w:basedOn w:val="Normal"/>
    <w:next w:val="Normal"/>
    <w:qFormat/>
    <w:rPr>
      <w:b/>
      <w:bCs/>
      <w:color w:val="1B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ycos6ruf_iuuxalxmovl" Type="http://schemas.openxmlformats.org/officeDocument/2006/relationships/hyperlink" Target="https://developers.meshapi.a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SmartReco SRS</dc:title>
  <dc:creator>SmartReco Participant</dc:creator>
  <dc:description>Software Requirements Specification for the SmartReco Build Challenge 2026</dc:description>
  <cp:lastModifiedBy>Un-named</cp:lastModifiedBy>
  <cp:revision>1</cp:revision>
  <dcterms:created xsi:type="dcterms:W3CDTF">2026-08-04T13:24:47.256Z</dcterms:created>
  <dcterms:modified xsi:type="dcterms:W3CDTF">2026-08-04T13:24:47.271Z</dcterms:modified>
</cp:coreProperties>
</file>

<file path=docProps/custom.xml><?xml version="1.0" encoding="utf-8"?>
<Properties xmlns="http://schemas.openxmlformats.org/officeDocument/2006/custom-properties" xmlns:vt="http://schemas.openxmlformats.org/officeDocument/2006/docPropsVTypes"/>
</file>