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5F2" w:rsidRDefault="00C035F2" w:rsidP="00182D01">
      <w:pPr>
        <w:spacing w:after="0" w:line="240" w:lineRule="auto"/>
        <w:rPr>
          <w:rFonts w:ascii="Times New Roman" w:hAnsi="Times New Roman"/>
          <w:b/>
        </w:rPr>
      </w:pPr>
      <w:r w:rsidRPr="0041452B">
        <w:rPr>
          <w:rFonts w:ascii="Times New Roman" w:hAnsi="Times New Roman"/>
          <w:b/>
        </w:rPr>
        <w:t>H</w:t>
      </w:r>
      <w:r>
        <w:rPr>
          <w:rFonts w:ascii="Times New Roman" w:hAnsi="Times New Roman"/>
          <w:b/>
        </w:rPr>
        <w:t>uman-</w:t>
      </w:r>
      <w:r w:rsidRPr="0041452B">
        <w:rPr>
          <w:rFonts w:ascii="Times New Roman" w:hAnsi="Times New Roman"/>
          <w:b/>
        </w:rPr>
        <w:t>I</w:t>
      </w:r>
      <w:r>
        <w:rPr>
          <w:rFonts w:ascii="Times New Roman" w:hAnsi="Times New Roman"/>
          <w:b/>
        </w:rPr>
        <w:t>nfrastructure</w:t>
      </w:r>
      <w:r w:rsidRPr="0041452B">
        <w:rPr>
          <w:rFonts w:ascii="Times New Roman" w:hAnsi="Times New Roman"/>
          <w:b/>
        </w:rPr>
        <w:t xml:space="preserve"> I</w:t>
      </w:r>
      <w:r>
        <w:rPr>
          <w:rFonts w:ascii="Times New Roman" w:hAnsi="Times New Roman"/>
          <w:b/>
        </w:rPr>
        <w:t>nteraction</w:t>
      </w:r>
      <w:r w:rsidRPr="0041452B">
        <w:rPr>
          <w:rFonts w:ascii="Times New Roman" w:hAnsi="Times New Roman"/>
          <w:b/>
        </w:rPr>
        <w:t xml:space="preserve"> </w:t>
      </w:r>
      <w:proofErr w:type="gramStart"/>
      <w:r w:rsidRPr="0041452B">
        <w:rPr>
          <w:rFonts w:ascii="Times New Roman" w:hAnsi="Times New Roman"/>
          <w:b/>
        </w:rPr>
        <w:t>F</w:t>
      </w:r>
      <w:r>
        <w:rPr>
          <w:rFonts w:ascii="Times New Roman" w:hAnsi="Times New Roman"/>
          <w:b/>
        </w:rPr>
        <w:t>or</w:t>
      </w:r>
      <w:proofErr w:type="gramEnd"/>
      <w:r w:rsidRPr="0041452B">
        <w:rPr>
          <w:rFonts w:ascii="Times New Roman" w:hAnsi="Times New Roman"/>
          <w:b/>
        </w:rPr>
        <w:t xml:space="preserve"> I</w:t>
      </w:r>
      <w:r>
        <w:rPr>
          <w:rFonts w:ascii="Times New Roman" w:hAnsi="Times New Roman"/>
          <w:b/>
        </w:rPr>
        <w:t>mproved</w:t>
      </w:r>
      <w:r w:rsidRPr="0041452B">
        <w:rPr>
          <w:rFonts w:ascii="Times New Roman" w:hAnsi="Times New Roman"/>
          <w:b/>
        </w:rPr>
        <w:t xml:space="preserve"> I</w:t>
      </w:r>
      <w:r>
        <w:rPr>
          <w:rFonts w:ascii="Times New Roman" w:hAnsi="Times New Roman"/>
          <w:b/>
        </w:rPr>
        <w:t>nspection</w:t>
      </w:r>
      <w:r w:rsidRPr="0041452B">
        <w:rPr>
          <w:rFonts w:ascii="Times New Roman" w:hAnsi="Times New Roman"/>
          <w:b/>
        </w:rPr>
        <w:t xml:space="preserve"> P</w:t>
      </w:r>
      <w:r>
        <w:rPr>
          <w:rFonts w:ascii="Times New Roman" w:hAnsi="Times New Roman"/>
          <w:b/>
        </w:rPr>
        <w:t>rocess:</w:t>
      </w:r>
    </w:p>
    <w:p w:rsidR="00C035F2" w:rsidRDefault="00C035F2" w:rsidP="00182D01">
      <w:pPr>
        <w:spacing w:after="0" w:line="240" w:lineRule="auto"/>
        <w:rPr>
          <w:rFonts w:ascii="Times New Roman" w:hAnsi="Times New Roman"/>
        </w:rPr>
      </w:pPr>
      <w:r w:rsidRPr="00182D01">
        <w:rPr>
          <w:rFonts w:ascii="Times New Roman" w:hAnsi="Times New Roman"/>
          <w:i/>
        </w:rPr>
        <w:t>Technical Lead:</w:t>
      </w:r>
      <w:r>
        <w:rPr>
          <w:rFonts w:ascii="Times New Roman" w:hAnsi="Times New Roman"/>
        </w:rPr>
        <w:t xml:space="preserve"> Vineet R. Kamat, </w:t>
      </w:r>
      <w:smartTag w:uri="urn:schemas-microsoft-com:office:smarttags" w:element="PlaceType">
        <w:smartTag w:uri="urn:schemas-microsoft-com:office:smarttags" w:element="place">
          <w:r>
            <w:rPr>
              <w:rFonts w:ascii="Times New Roman" w:hAnsi="Times New Roman"/>
            </w:rPr>
            <w:t>University</w:t>
          </w:r>
        </w:smartTag>
        <w:r>
          <w:rPr>
            <w:rFonts w:ascii="Times New Roman" w:hAnsi="Times New Roman"/>
          </w:rPr>
          <w:t xml:space="preserve"> of </w:t>
        </w:r>
        <w:smartTag w:uri="urn:schemas-microsoft-com:office:smarttags" w:element="PlaceName">
          <w:r>
            <w:rPr>
              <w:rFonts w:ascii="Times New Roman" w:hAnsi="Times New Roman"/>
            </w:rPr>
            <w:t>Michigan</w:t>
          </w:r>
        </w:smartTag>
      </w:smartTag>
    </w:p>
    <w:p w:rsidR="00C035F2" w:rsidRDefault="00C035F2" w:rsidP="00182D01">
      <w:pPr>
        <w:spacing w:after="0" w:line="240" w:lineRule="auto"/>
        <w:rPr>
          <w:rFonts w:ascii="Times New Roman" w:hAnsi="Times New Roman"/>
        </w:rPr>
      </w:pPr>
      <w:r w:rsidRPr="00182D01">
        <w:rPr>
          <w:rFonts w:ascii="Times New Roman" w:hAnsi="Times New Roman"/>
          <w:i/>
        </w:rPr>
        <w:t>JV Collaborators:</w:t>
      </w:r>
      <w:r>
        <w:rPr>
          <w:rFonts w:ascii="Times New Roman" w:hAnsi="Times New Roman"/>
        </w:rPr>
        <w:t xml:space="preserve"> Jerome P. Lynch, Atul Prakash (University </w:t>
      </w:r>
      <w:smartTag w:uri="urn:schemas-microsoft-com:office:smarttags" w:element="State">
        <w:smartTag w:uri="urn:schemas-microsoft-com:office:smarttags" w:element="place">
          <w:r>
            <w:rPr>
              <w:rFonts w:ascii="Times New Roman" w:hAnsi="Times New Roman"/>
            </w:rPr>
            <w:t>Michigan</w:t>
          </w:r>
        </w:smartTag>
      </w:smartTag>
      <w:r>
        <w:rPr>
          <w:rFonts w:ascii="Times New Roman" w:hAnsi="Times New Roman"/>
        </w:rPr>
        <w:t>), SC Solutions</w:t>
      </w:r>
    </w:p>
    <w:p w:rsidR="00C035F2" w:rsidRDefault="00C035F2" w:rsidP="00182D01">
      <w:pPr>
        <w:spacing w:after="0" w:line="240" w:lineRule="auto"/>
        <w:rPr>
          <w:rFonts w:ascii="Times New Roman" w:hAnsi="Times New Roman"/>
        </w:rPr>
      </w:pPr>
    </w:p>
    <w:p w:rsidR="00C035F2" w:rsidRPr="000B760E" w:rsidRDefault="00C035F2" w:rsidP="00182D01">
      <w:pPr>
        <w:spacing w:after="0" w:line="240" w:lineRule="auto"/>
        <w:rPr>
          <w:rFonts w:ascii="Times New Roman" w:hAnsi="Times New Roman"/>
          <w:u w:val="single"/>
        </w:rPr>
      </w:pPr>
      <w:r w:rsidRPr="000B760E">
        <w:rPr>
          <w:rFonts w:ascii="Times New Roman" w:hAnsi="Times New Roman"/>
          <w:u w:val="single"/>
        </w:rPr>
        <w:t xml:space="preserve">Task 1: </w:t>
      </w:r>
      <w:r w:rsidRPr="0041452B">
        <w:rPr>
          <w:rFonts w:ascii="Times New Roman" w:hAnsi="Times New Roman"/>
          <w:u w:val="single"/>
        </w:rPr>
        <w:t>Develop a platform for ubiquitous context-aware computing applications for bridge monitoring</w:t>
      </w:r>
    </w:p>
    <w:p w:rsidR="00C035F2" w:rsidRDefault="00F068BB" w:rsidP="00182D01">
      <w:pPr>
        <w:spacing w:after="0" w:line="240" w:lineRule="auto"/>
        <w:rPr>
          <w:rFonts w:ascii="Times New Roman" w:hAnsi="Times New Roman"/>
        </w:rPr>
      </w:pPr>
      <w:r>
        <w:rPr>
          <w:rFonts w:ascii="Times New Roman" w:hAnsi="Times New Roman"/>
          <w:noProof/>
        </w:rPr>
        <w:drawing>
          <wp:inline distT="0" distB="0" distL="0" distR="0">
            <wp:extent cx="8147050" cy="228981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8147050" cy="2289810"/>
                    </a:xfrm>
                    <a:prstGeom prst="rect">
                      <a:avLst/>
                    </a:prstGeom>
                    <a:noFill/>
                    <a:ln w="9525">
                      <a:noFill/>
                      <a:miter lim="800000"/>
                      <a:headEnd/>
                      <a:tailEnd/>
                    </a:ln>
                  </pic:spPr>
                </pic:pic>
              </a:graphicData>
            </a:graphic>
          </wp:inline>
        </w:drawing>
      </w:r>
    </w:p>
    <w:p w:rsidR="00C035F2" w:rsidRDefault="00C035F2" w:rsidP="00182D01">
      <w:pPr>
        <w:spacing w:after="0" w:line="240" w:lineRule="auto"/>
        <w:rPr>
          <w:rFonts w:ascii="Times New Roman" w:hAnsi="Times New Roman"/>
        </w:rPr>
      </w:pPr>
    </w:p>
    <w:p w:rsidR="00C035F2" w:rsidRDefault="00360476" w:rsidP="00E436FC">
      <w:pPr>
        <w:spacing w:after="0" w:line="240" w:lineRule="auto"/>
        <w:jc w:val="both"/>
        <w:rPr>
          <w:rFonts w:ascii="Times New Roman" w:hAnsi="Times New Roman"/>
        </w:rPr>
      </w:pPr>
      <w:r w:rsidRPr="00360476">
        <w:rPr>
          <w:noProof/>
        </w:rPr>
        <w:pict>
          <v:shapetype id="_x0000_t202" coordsize="21600,21600" o:spt="202" path="m,l,21600r21600,l21600,xe">
            <v:stroke joinstyle="miter"/>
            <v:path gradientshapeok="t" o:connecttype="rect"/>
          </v:shapetype>
          <v:shape id="_x0000_s1026" type="#_x0000_t202" style="position:absolute;left:0;text-align:left;margin-left:423.5pt;margin-top:5.8pt;width:230.5pt;height:195.4pt;z-index:251656192" stroked="f">
            <v:textbox style="mso-next-textbox:#_x0000_s1026">
              <w:txbxContent>
                <w:p w:rsidR="00C035F2" w:rsidRPr="008F2F82" w:rsidRDefault="00F068BB" w:rsidP="00EC6BEA">
                  <w:pPr>
                    <w:spacing w:after="0" w:line="240" w:lineRule="auto"/>
                    <w:jc w:val="both"/>
                    <w:rPr>
                      <w:rFonts w:ascii="Times New Roman" w:hAnsi="Times New Roman"/>
                      <w:sz w:val="20"/>
                    </w:rPr>
                  </w:pPr>
                  <w:r>
                    <w:rPr>
                      <w:noProof/>
                    </w:rPr>
                    <w:drawing>
                      <wp:inline distT="0" distB="0" distL="0" distR="0">
                        <wp:extent cx="2743200" cy="1812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743200" cy="1812290"/>
                                </a:xfrm>
                                <a:prstGeom prst="rect">
                                  <a:avLst/>
                                </a:prstGeom>
                                <a:noFill/>
                                <a:ln w="9525">
                                  <a:noFill/>
                                  <a:miter lim="800000"/>
                                  <a:headEnd/>
                                  <a:tailEnd/>
                                </a:ln>
                              </pic:spPr>
                            </pic:pic>
                          </a:graphicData>
                        </a:graphic>
                      </wp:inline>
                    </w:drawing>
                  </w:r>
                </w:p>
                <w:p w:rsidR="00C035F2" w:rsidRDefault="00C035F2" w:rsidP="00EC6BEA">
                  <w:pPr>
                    <w:spacing w:after="0" w:line="240" w:lineRule="auto"/>
                    <w:jc w:val="both"/>
                    <w:rPr>
                      <w:rFonts w:ascii="Times New Roman" w:hAnsi="Times New Roman"/>
                      <w:sz w:val="20"/>
                    </w:rPr>
                  </w:pPr>
                  <w:r>
                    <w:rPr>
                      <w:rFonts w:ascii="Times New Roman" w:hAnsi="Times New Roman"/>
                      <w:sz w:val="20"/>
                    </w:rPr>
                    <w:t>Figure 1:</w:t>
                  </w:r>
                  <w:r w:rsidRPr="00EC6BEA">
                    <w:rPr>
                      <w:rFonts w:ascii="Times New Roman" w:hAnsi="Times New Roman"/>
                      <w:sz w:val="20"/>
                    </w:rPr>
                    <w:t xml:space="preserve"> </w:t>
                  </w:r>
                  <w:r>
                    <w:rPr>
                      <w:rFonts w:ascii="Times New Roman" w:hAnsi="Times New Roman"/>
                      <w:sz w:val="20"/>
                    </w:rPr>
                    <w:t>The plot shows 100 values of GPS errors integrated into the simulation with 100 runs. The values conform to a typical Rayleigh distribution, which defines the behavior of GPS error distribution.</w:t>
                  </w:r>
                  <w:r w:rsidRPr="00EC6BEA">
                    <w:rPr>
                      <w:rFonts w:ascii="Times New Roman" w:hAnsi="Times New Roman"/>
                      <w:sz w:val="20"/>
                    </w:rPr>
                    <w:t xml:space="preserve"> </w:t>
                  </w:r>
                </w:p>
              </w:txbxContent>
            </v:textbox>
            <w10:wrap type="square"/>
          </v:shape>
        </w:pict>
      </w:r>
      <w:r w:rsidR="00C035F2">
        <w:rPr>
          <w:rFonts w:ascii="Times New Roman" w:hAnsi="Times New Roman"/>
        </w:rPr>
        <w:t>In this quarter</w:t>
      </w:r>
      <w:r w:rsidR="007E6B9F">
        <w:rPr>
          <w:rFonts w:ascii="Times New Roman" w:hAnsi="Times New Roman"/>
        </w:rPr>
        <w:t>,</w:t>
      </w:r>
      <w:r w:rsidR="00C035F2">
        <w:rPr>
          <w:rFonts w:ascii="Times New Roman" w:hAnsi="Times New Roman"/>
        </w:rPr>
        <w:t xml:space="preserve"> the research team has been successful in simulating and quantifying the effects of the errors </w:t>
      </w:r>
      <w:r w:rsidR="007E6B9F">
        <w:rPr>
          <w:rFonts w:ascii="Times New Roman" w:hAnsi="Times New Roman"/>
        </w:rPr>
        <w:t>encountered</w:t>
      </w:r>
      <w:r w:rsidR="00C035F2">
        <w:rPr>
          <w:rFonts w:ascii="Times New Roman" w:hAnsi="Times New Roman"/>
        </w:rPr>
        <w:t xml:space="preserve"> with GPS based location tracking system and the orientation tracker on the ability of the context-aware computing system in identifying the spatial context of the mobile </w:t>
      </w:r>
      <w:r w:rsidR="007E6B9F">
        <w:rPr>
          <w:rFonts w:ascii="Times New Roman" w:hAnsi="Times New Roman"/>
        </w:rPr>
        <w:t>inspector</w:t>
      </w:r>
      <w:r w:rsidR="00C035F2">
        <w:rPr>
          <w:rFonts w:ascii="Times New Roman" w:hAnsi="Times New Roman"/>
        </w:rPr>
        <w:t xml:space="preserve">. The FEM data in the </w:t>
      </w:r>
      <w:proofErr w:type="spellStart"/>
      <w:r w:rsidR="00C035F2">
        <w:rPr>
          <w:rFonts w:ascii="Times New Roman" w:hAnsi="Times New Roman"/>
        </w:rPr>
        <w:t>Senstore</w:t>
      </w:r>
      <w:proofErr w:type="spellEnd"/>
      <w:r w:rsidR="00C035F2">
        <w:rPr>
          <w:rFonts w:ascii="Times New Roman" w:hAnsi="Times New Roman"/>
        </w:rPr>
        <w:t xml:space="preserve"> Se</w:t>
      </w:r>
      <w:r w:rsidR="007E6B9F">
        <w:rPr>
          <w:rFonts w:ascii="Times New Roman" w:hAnsi="Times New Roman"/>
        </w:rPr>
        <w:t>r</w:t>
      </w:r>
      <w:r w:rsidR="00C035F2">
        <w:rPr>
          <w:rFonts w:ascii="Times New Roman" w:hAnsi="Times New Roman"/>
        </w:rPr>
        <w:t>ver was chosen as a representative point cloud that describes geometry of the Telegraph Road Bridge. The behavior of GPS errors is modeled based on the RMS errors of the GPS. Typically the RMS errors depend on the GPS instrumentation being used and vary from 1-2 inches (high accuracy RTK GPS) to 3-4 meters (commercial pedestrian GPS). The simulation was conducted for a RMS error of 1.5 meter. The error distribution is described as a Weibull distribution with a shape factor of 2 (also called as Rayleigh distribution):</w:t>
      </w:r>
    </w:p>
    <w:p w:rsidR="00C035F2" w:rsidRDefault="00F068BB" w:rsidP="008F2F82">
      <w:pPr>
        <w:spacing w:after="0" w:line="240" w:lineRule="auto"/>
        <w:jc w:val="center"/>
        <w:rPr>
          <w:rFonts w:ascii="Times New Roman" w:hAnsi="Times New Roman"/>
        </w:rPr>
      </w:pPr>
      <w:r>
        <w:rPr>
          <w:rFonts w:ascii="Times New Roman" w:hAnsi="Times New Roman"/>
          <w:noProof/>
        </w:rPr>
        <w:drawing>
          <wp:inline distT="0" distB="0" distL="0" distR="0">
            <wp:extent cx="2627630" cy="180975"/>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627630" cy="180975"/>
                    </a:xfrm>
                    <a:prstGeom prst="rect">
                      <a:avLst/>
                    </a:prstGeom>
                    <a:noFill/>
                    <a:ln w="9525">
                      <a:noFill/>
                      <a:miter lim="800000"/>
                      <a:headEnd/>
                      <a:tailEnd/>
                    </a:ln>
                  </pic:spPr>
                </pic:pic>
              </a:graphicData>
            </a:graphic>
          </wp:inline>
        </w:drawing>
      </w:r>
    </w:p>
    <w:p w:rsidR="00C035F2" w:rsidRDefault="00C035F2" w:rsidP="00E436FC">
      <w:pPr>
        <w:spacing w:after="0" w:line="240" w:lineRule="auto"/>
        <w:jc w:val="both"/>
        <w:rPr>
          <w:rFonts w:ascii="Times New Roman" w:hAnsi="Times New Roman"/>
        </w:rPr>
      </w:pPr>
      <w:r>
        <w:rPr>
          <w:rFonts w:ascii="Times New Roman" w:hAnsi="Times New Roman"/>
        </w:rPr>
        <w:t xml:space="preserve">The simulation algorithm, typically run a 100 times for each of the 8 cases (as described in the previous quarterly report), implicitly assumes GPS errors as defined by the Rayleigh distribution as shown in Figure 1. </w:t>
      </w:r>
    </w:p>
    <w:p w:rsidR="00C035F2" w:rsidRDefault="00C035F2" w:rsidP="00E436FC">
      <w:pPr>
        <w:spacing w:after="0" w:line="240" w:lineRule="auto"/>
        <w:jc w:val="both"/>
        <w:rPr>
          <w:rFonts w:ascii="Times New Roman" w:hAnsi="Times New Roman"/>
        </w:rPr>
      </w:pPr>
    </w:p>
    <w:p w:rsidR="00C035F2" w:rsidRDefault="00360476" w:rsidP="00E436FC">
      <w:pPr>
        <w:spacing w:after="0" w:line="240" w:lineRule="auto"/>
        <w:jc w:val="both"/>
        <w:rPr>
          <w:rFonts w:ascii="Times New Roman" w:hAnsi="Times New Roman"/>
        </w:rPr>
      </w:pPr>
      <w:r w:rsidRPr="00360476">
        <w:rPr>
          <w:noProof/>
        </w:rPr>
        <w:pict>
          <v:shape id="_x0000_s1028" type="#_x0000_t202" style="position:absolute;left:0;text-align:left;margin-left:16.5pt;margin-top:9pt;width:291.5pt;height:369pt;z-index:251658240" stroked="f">
            <v:textbox style="mso-next-textbox:#_x0000_s1028">
              <w:txbxContent>
                <w:p w:rsidR="00C035F2" w:rsidRDefault="00F068BB" w:rsidP="008B01A7">
                  <w:pPr>
                    <w:spacing w:after="0" w:line="240" w:lineRule="auto"/>
                    <w:jc w:val="center"/>
                  </w:pPr>
                  <w:r>
                    <w:rPr>
                      <w:noProof/>
                    </w:rPr>
                    <w:drawing>
                      <wp:inline distT="0" distB="0" distL="0" distR="0">
                        <wp:extent cx="3566795" cy="1969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566795" cy="1969135"/>
                                </a:xfrm>
                                <a:prstGeom prst="rect">
                                  <a:avLst/>
                                </a:prstGeom>
                                <a:noFill/>
                                <a:ln w="9525">
                                  <a:noFill/>
                                  <a:miter lim="800000"/>
                                  <a:headEnd/>
                                  <a:tailEnd/>
                                </a:ln>
                              </pic:spPr>
                            </pic:pic>
                          </a:graphicData>
                        </a:graphic>
                      </wp:inline>
                    </w:drawing>
                  </w:r>
                </w:p>
                <w:p w:rsidR="00C035F2" w:rsidRPr="00F8481A" w:rsidRDefault="00F068BB" w:rsidP="008B01A7">
                  <w:pPr>
                    <w:spacing w:after="0" w:line="240" w:lineRule="auto"/>
                    <w:jc w:val="center"/>
                  </w:pPr>
                  <w:r>
                    <w:rPr>
                      <w:noProof/>
                    </w:rPr>
                    <w:drawing>
                      <wp:inline distT="0" distB="0" distL="0" distR="0">
                        <wp:extent cx="3566795" cy="1969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566795" cy="1969135"/>
                                </a:xfrm>
                                <a:prstGeom prst="rect">
                                  <a:avLst/>
                                </a:prstGeom>
                                <a:noFill/>
                                <a:ln w="9525">
                                  <a:noFill/>
                                  <a:miter lim="800000"/>
                                  <a:headEnd/>
                                  <a:tailEnd/>
                                </a:ln>
                              </pic:spPr>
                            </pic:pic>
                          </a:graphicData>
                        </a:graphic>
                      </wp:inline>
                    </w:drawing>
                  </w:r>
                </w:p>
                <w:p w:rsidR="00C035F2" w:rsidRDefault="00C035F2" w:rsidP="008B01A7">
                  <w:pPr>
                    <w:spacing w:after="0" w:line="240" w:lineRule="auto"/>
                    <w:jc w:val="both"/>
                    <w:rPr>
                      <w:rFonts w:ascii="Times New Roman" w:hAnsi="Times New Roman"/>
                      <w:sz w:val="20"/>
                    </w:rPr>
                  </w:pPr>
                  <w:r>
                    <w:rPr>
                      <w:rFonts w:ascii="Times New Roman" w:hAnsi="Times New Roman"/>
                      <w:sz w:val="20"/>
                    </w:rPr>
                    <w:t>Figure 2:</w:t>
                  </w:r>
                  <w:r w:rsidRPr="00EC6BEA">
                    <w:rPr>
                      <w:rFonts w:ascii="Times New Roman" w:hAnsi="Times New Roman"/>
                      <w:sz w:val="20"/>
                    </w:rPr>
                    <w:t xml:space="preserve"> </w:t>
                  </w:r>
                  <w:r>
                    <w:rPr>
                      <w:rFonts w:ascii="Times New Roman" w:hAnsi="Times New Roman"/>
                      <w:sz w:val="20"/>
                    </w:rPr>
                    <w:t xml:space="preserve">The plot shows the percentage of correctly identified points (above) and wrongly identified points (below) </w:t>
                  </w:r>
                  <w:proofErr w:type="spellStart"/>
                  <w:r>
                    <w:rPr>
                      <w:rFonts w:ascii="Times New Roman" w:hAnsi="Times New Roman"/>
                      <w:sz w:val="20"/>
                    </w:rPr>
                    <w:t>vs</w:t>
                  </w:r>
                  <w:proofErr w:type="spellEnd"/>
                  <w:r>
                    <w:rPr>
                      <w:rFonts w:ascii="Times New Roman" w:hAnsi="Times New Roman"/>
                      <w:sz w:val="20"/>
                    </w:rPr>
                    <w:t xml:space="preserve"> the error in GPS. As the error increases, the accuracy degrades gracefully.</w:t>
                  </w:r>
                </w:p>
              </w:txbxContent>
            </v:textbox>
            <w10:wrap type="square"/>
          </v:shape>
        </w:pict>
      </w:r>
      <w:r w:rsidRPr="00360476">
        <w:rPr>
          <w:noProof/>
        </w:rPr>
        <w:pict>
          <v:shape id="_x0000_s1027" type="#_x0000_t202" style="position:absolute;left:0;text-align:left;margin-left:341pt;margin-top:9pt;width:291.5pt;height:369pt;z-index:251657216" stroked="f">
            <v:textbox style="mso-next-textbox:#_x0000_s1027">
              <w:txbxContent>
                <w:p w:rsidR="00C035F2" w:rsidRPr="00950C46" w:rsidRDefault="00F068BB" w:rsidP="008B01A7">
                  <w:pPr>
                    <w:spacing w:after="0" w:line="240" w:lineRule="auto"/>
                    <w:jc w:val="center"/>
                  </w:pPr>
                  <w:r>
                    <w:rPr>
                      <w:noProof/>
                    </w:rPr>
                    <w:drawing>
                      <wp:inline distT="0" distB="0" distL="0" distR="0">
                        <wp:extent cx="3460115" cy="1969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460115" cy="1969135"/>
                                </a:xfrm>
                                <a:prstGeom prst="rect">
                                  <a:avLst/>
                                </a:prstGeom>
                                <a:noFill/>
                                <a:ln w="9525">
                                  <a:noFill/>
                                  <a:miter lim="800000"/>
                                  <a:headEnd/>
                                  <a:tailEnd/>
                                </a:ln>
                              </pic:spPr>
                            </pic:pic>
                          </a:graphicData>
                        </a:graphic>
                      </wp:inline>
                    </w:drawing>
                  </w:r>
                </w:p>
                <w:p w:rsidR="00C035F2" w:rsidRPr="00A63EF8" w:rsidRDefault="00F068BB" w:rsidP="008B01A7">
                  <w:pPr>
                    <w:spacing w:after="0" w:line="240" w:lineRule="auto"/>
                    <w:jc w:val="center"/>
                  </w:pPr>
                  <w:r>
                    <w:rPr>
                      <w:noProof/>
                    </w:rPr>
                    <w:drawing>
                      <wp:inline distT="0" distB="0" distL="0" distR="0">
                        <wp:extent cx="3460115" cy="1952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3460115" cy="1952625"/>
                                </a:xfrm>
                                <a:prstGeom prst="rect">
                                  <a:avLst/>
                                </a:prstGeom>
                                <a:noFill/>
                                <a:ln w="9525">
                                  <a:noFill/>
                                  <a:miter lim="800000"/>
                                  <a:headEnd/>
                                  <a:tailEnd/>
                                </a:ln>
                              </pic:spPr>
                            </pic:pic>
                          </a:graphicData>
                        </a:graphic>
                      </wp:inline>
                    </w:drawing>
                  </w:r>
                </w:p>
                <w:p w:rsidR="00C035F2" w:rsidRDefault="00C035F2" w:rsidP="00EA666C">
                  <w:pPr>
                    <w:spacing w:after="0" w:line="240" w:lineRule="auto"/>
                    <w:jc w:val="both"/>
                    <w:rPr>
                      <w:rFonts w:ascii="Times New Roman" w:hAnsi="Times New Roman"/>
                      <w:sz w:val="20"/>
                    </w:rPr>
                  </w:pPr>
                  <w:r>
                    <w:rPr>
                      <w:rFonts w:ascii="Times New Roman" w:hAnsi="Times New Roman"/>
                      <w:sz w:val="20"/>
                    </w:rPr>
                    <w:t>Figure 3:</w:t>
                  </w:r>
                  <w:r w:rsidRPr="00EC6BEA">
                    <w:rPr>
                      <w:rFonts w:ascii="Times New Roman" w:hAnsi="Times New Roman"/>
                      <w:sz w:val="20"/>
                    </w:rPr>
                    <w:t xml:space="preserve"> </w:t>
                  </w:r>
                  <w:r>
                    <w:rPr>
                      <w:rFonts w:ascii="Times New Roman" w:hAnsi="Times New Roman"/>
                      <w:sz w:val="20"/>
                    </w:rPr>
                    <w:t xml:space="preserve">The plot shows the percentage of correctly identified points (above) and wrongly identified points (below) </w:t>
                  </w:r>
                  <w:proofErr w:type="spellStart"/>
                  <w:r>
                    <w:rPr>
                      <w:rFonts w:ascii="Times New Roman" w:hAnsi="Times New Roman"/>
                      <w:sz w:val="20"/>
                    </w:rPr>
                    <w:t>vs</w:t>
                  </w:r>
                  <w:proofErr w:type="spellEnd"/>
                  <w:r>
                    <w:rPr>
                      <w:rFonts w:ascii="Times New Roman" w:hAnsi="Times New Roman"/>
                      <w:sz w:val="20"/>
                    </w:rPr>
                    <w:t xml:space="preserve"> the probability of the GPS error. </w:t>
                  </w:r>
                </w:p>
              </w:txbxContent>
            </v:textbox>
            <w10:wrap type="square"/>
          </v:shape>
        </w:pict>
      </w:r>
      <w:r w:rsidR="00C035F2">
        <w:rPr>
          <w:rFonts w:ascii="Times New Roman" w:hAnsi="Times New Roman"/>
        </w:rPr>
        <w:t xml:space="preserve">As described above, the simulation was conducted for the 8 cases mentioned in the April 2011 quarterly report. The base case used for the 8 simulations was the same as the base case mentioned in the same report. The simulation estimates the average values </w:t>
      </w:r>
      <w:r w:rsidR="007E6B9F">
        <w:rPr>
          <w:rFonts w:ascii="Times New Roman" w:hAnsi="Times New Roman"/>
        </w:rPr>
        <w:t xml:space="preserve">of </w:t>
      </w:r>
      <w:r w:rsidR="00C035F2">
        <w:rPr>
          <w:rFonts w:ascii="Times New Roman" w:hAnsi="Times New Roman"/>
        </w:rPr>
        <w:t xml:space="preserve">the following statistical factors: </w:t>
      </w:r>
    </w:p>
    <w:p w:rsidR="00C035F2" w:rsidRDefault="00C035F2" w:rsidP="009F50B6">
      <w:pPr>
        <w:numPr>
          <w:ilvl w:val="0"/>
          <w:numId w:val="41"/>
        </w:numPr>
        <w:spacing w:after="0" w:line="240" w:lineRule="auto"/>
        <w:jc w:val="both"/>
        <w:rPr>
          <w:rFonts w:ascii="Times New Roman" w:hAnsi="Times New Roman"/>
        </w:rPr>
      </w:pPr>
      <w:r>
        <w:rPr>
          <w:rFonts w:ascii="Times New Roman" w:hAnsi="Times New Roman"/>
        </w:rPr>
        <w:t>The percentage of correctly identified points (i.e., the points in the point cloud identified by the context-aware computing algorithm as within spatial-context and are also truly in spatial-context as determined by the base case).</w:t>
      </w:r>
    </w:p>
    <w:p w:rsidR="00C035F2" w:rsidRDefault="00C035F2" w:rsidP="009F50B6">
      <w:pPr>
        <w:numPr>
          <w:ilvl w:val="0"/>
          <w:numId w:val="41"/>
        </w:numPr>
        <w:spacing w:after="0" w:line="240" w:lineRule="auto"/>
        <w:jc w:val="both"/>
        <w:rPr>
          <w:rFonts w:ascii="Times New Roman" w:hAnsi="Times New Roman"/>
        </w:rPr>
      </w:pPr>
      <w:r>
        <w:rPr>
          <w:rFonts w:ascii="Times New Roman" w:hAnsi="Times New Roman"/>
        </w:rPr>
        <w:t>The percentage of falsely identified points (i.e., points that are interpreted by the context-aware computing algorithm as in context but are not truly in context as identified by the base case).</w:t>
      </w:r>
    </w:p>
    <w:p w:rsidR="00C035F2" w:rsidRDefault="00C035F2" w:rsidP="00EA666C">
      <w:pPr>
        <w:spacing w:after="0" w:line="240" w:lineRule="auto"/>
        <w:jc w:val="both"/>
        <w:rPr>
          <w:rFonts w:ascii="Times New Roman" w:hAnsi="Times New Roman"/>
        </w:rPr>
      </w:pPr>
    </w:p>
    <w:p w:rsidR="00C035F2" w:rsidRDefault="00C035F2" w:rsidP="00EA666C">
      <w:pPr>
        <w:spacing w:after="0" w:line="240" w:lineRule="auto"/>
        <w:jc w:val="both"/>
        <w:rPr>
          <w:rFonts w:ascii="Times New Roman" w:hAnsi="Times New Roman"/>
        </w:rPr>
      </w:pPr>
      <w:r>
        <w:rPr>
          <w:rFonts w:ascii="Times New Roman" w:hAnsi="Times New Roman"/>
        </w:rPr>
        <w:t>Figure 2 and Figure 3 plot the aforementioned statistical factors, for one of the 8 cases (case 3), against the error in GPS and the frequency of their appearance in the simulated runs respectively. The results of the simulation are summarized in Figure 4.</w:t>
      </w:r>
    </w:p>
    <w:p w:rsidR="00C035F2" w:rsidRDefault="00360476" w:rsidP="00E436FC">
      <w:pPr>
        <w:spacing w:after="0" w:line="240" w:lineRule="auto"/>
        <w:jc w:val="both"/>
        <w:rPr>
          <w:rFonts w:ascii="Times New Roman" w:hAnsi="Times New Roman"/>
        </w:rPr>
      </w:pPr>
      <w:r w:rsidRPr="00360476">
        <w:rPr>
          <w:noProof/>
        </w:rPr>
        <w:pict>
          <v:shape id="_x0000_s1029" type="#_x0000_t202" style="position:absolute;left:0;text-align:left;margin-left:5.5pt;margin-top:16.05pt;width:671pt;height:189pt;z-index:251659264" stroked="f">
            <v:textbox style="mso-next-textbox:#_x0000_s1029">
              <w:txbxContent>
                <w:tbl>
                  <w:tblPr>
                    <w:tblW w:w="12760" w:type="dxa"/>
                    <w:tblInd w:w="97" w:type="dxa"/>
                    <w:tblLook w:val="0000"/>
                  </w:tblPr>
                  <w:tblGrid>
                    <w:gridCol w:w="1160"/>
                    <w:gridCol w:w="1160"/>
                    <w:gridCol w:w="1160"/>
                    <w:gridCol w:w="1160"/>
                    <w:gridCol w:w="1160"/>
                    <w:gridCol w:w="1160"/>
                    <w:gridCol w:w="1160"/>
                    <w:gridCol w:w="1160"/>
                    <w:gridCol w:w="1160"/>
                    <w:gridCol w:w="1160"/>
                    <w:gridCol w:w="1160"/>
                  </w:tblGrid>
                  <w:tr w:rsidR="00C035F2" w:rsidRPr="00B965D0" w:rsidTr="00B064E0">
                    <w:trPr>
                      <w:trHeight w:val="264"/>
                    </w:trPr>
                    <w:tc>
                      <w:tcPr>
                        <w:tcW w:w="1160" w:type="dxa"/>
                        <w:shd w:val="clear" w:color="auto" w:fill="D9D9D9"/>
                        <w:noWrap/>
                        <w:vAlign w:val="bottom"/>
                      </w:tcPr>
                      <w:p w:rsidR="00C035F2" w:rsidRPr="00B965D0" w:rsidRDefault="00C035F2" w:rsidP="00B965D0">
                        <w:pPr>
                          <w:spacing w:after="0" w:line="240" w:lineRule="auto"/>
                          <w:rPr>
                            <w:rFonts w:ascii="Arial" w:hAnsi="Arial" w:cs="Arial"/>
                            <w:sz w:val="18"/>
                            <w:szCs w:val="18"/>
                          </w:rPr>
                        </w:pPr>
                      </w:p>
                    </w:tc>
                    <w:tc>
                      <w:tcPr>
                        <w:tcW w:w="5800" w:type="dxa"/>
                        <w:gridSpan w:val="5"/>
                        <w:shd w:val="clear" w:color="auto" w:fill="D9D9D9"/>
                        <w:noWrap/>
                        <w:vAlign w:val="bottom"/>
                      </w:tcPr>
                      <w:p w:rsidR="00C035F2" w:rsidRPr="00B064E0" w:rsidRDefault="00C035F2" w:rsidP="00B965D0">
                        <w:pPr>
                          <w:spacing w:after="0" w:line="240" w:lineRule="auto"/>
                          <w:jc w:val="center"/>
                          <w:rPr>
                            <w:rFonts w:ascii="Arial" w:hAnsi="Arial" w:cs="Arial"/>
                            <w:b/>
                            <w:sz w:val="18"/>
                            <w:szCs w:val="18"/>
                          </w:rPr>
                        </w:pPr>
                        <w:r w:rsidRPr="00B064E0">
                          <w:rPr>
                            <w:rFonts w:ascii="Arial" w:hAnsi="Arial" w:cs="Arial"/>
                            <w:b/>
                            <w:sz w:val="18"/>
                            <w:szCs w:val="18"/>
                          </w:rPr>
                          <w:t>Percentage of correctly identified points with a confidence of</w:t>
                        </w:r>
                      </w:p>
                    </w:tc>
                    <w:tc>
                      <w:tcPr>
                        <w:tcW w:w="5800" w:type="dxa"/>
                        <w:gridSpan w:val="5"/>
                        <w:shd w:val="clear" w:color="auto" w:fill="D9D9D9"/>
                        <w:noWrap/>
                        <w:vAlign w:val="bottom"/>
                      </w:tcPr>
                      <w:p w:rsidR="00C035F2" w:rsidRPr="00B064E0" w:rsidRDefault="00C035F2" w:rsidP="00B965D0">
                        <w:pPr>
                          <w:spacing w:after="0" w:line="240" w:lineRule="auto"/>
                          <w:jc w:val="center"/>
                          <w:rPr>
                            <w:rFonts w:ascii="Arial" w:hAnsi="Arial" w:cs="Arial"/>
                            <w:b/>
                            <w:sz w:val="18"/>
                            <w:szCs w:val="18"/>
                          </w:rPr>
                        </w:pPr>
                        <w:r w:rsidRPr="00B064E0">
                          <w:rPr>
                            <w:rFonts w:ascii="Arial" w:hAnsi="Arial" w:cs="Arial"/>
                            <w:b/>
                            <w:sz w:val="18"/>
                            <w:szCs w:val="18"/>
                          </w:rPr>
                          <w:t>Percentage of wrongly identified points with a confidence of</w:t>
                        </w:r>
                      </w:p>
                    </w:tc>
                  </w:tr>
                  <w:tr w:rsidR="00C035F2" w:rsidRPr="00B965D0" w:rsidTr="00B064E0">
                    <w:trPr>
                      <w:trHeight w:val="264"/>
                    </w:trPr>
                    <w:tc>
                      <w:tcPr>
                        <w:tcW w:w="1160" w:type="dxa"/>
                        <w:shd w:val="clear" w:color="auto" w:fill="D9D9D9"/>
                        <w:noWrap/>
                        <w:vAlign w:val="bottom"/>
                      </w:tcPr>
                      <w:p w:rsidR="00C035F2" w:rsidRPr="00B965D0" w:rsidRDefault="00C035F2" w:rsidP="00B965D0">
                        <w:pPr>
                          <w:spacing w:after="0" w:line="240" w:lineRule="auto"/>
                          <w:rPr>
                            <w:rFonts w:ascii="Arial" w:hAnsi="Arial" w:cs="Arial"/>
                            <w:sz w:val="18"/>
                            <w:szCs w:val="18"/>
                          </w:rPr>
                        </w:pPr>
                      </w:p>
                    </w:tc>
                    <w:tc>
                      <w:tcPr>
                        <w:tcW w:w="1160" w:type="dxa"/>
                        <w:shd w:val="clear" w:color="auto" w:fill="D9D9D9"/>
                        <w:noWrap/>
                        <w:vAlign w:val="bottom"/>
                      </w:tcPr>
                      <w:p w:rsidR="00C035F2" w:rsidRPr="00B064E0" w:rsidRDefault="00C035F2" w:rsidP="00B965D0">
                        <w:pPr>
                          <w:spacing w:after="0" w:line="240" w:lineRule="auto"/>
                          <w:jc w:val="center"/>
                          <w:rPr>
                            <w:rFonts w:ascii="Arial" w:hAnsi="Arial" w:cs="Arial"/>
                            <w:b/>
                            <w:sz w:val="18"/>
                            <w:szCs w:val="18"/>
                          </w:rPr>
                        </w:pPr>
                        <w:r w:rsidRPr="00B064E0">
                          <w:rPr>
                            <w:rFonts w:ascii="Arial" w:hAnsi="Arial" w:cs="Arial"/>
                            <w:b/>
                            <w:sz w:val="18"/>
                            <w:szCs w:val="18"/>
                          </w:rPr>
                          <w:t>66%</w:t>
                        </w:r>
                      </w:p>
                    </w:tc>
                    <w:tc>
                      <w:tcPr>
                        <w:tcW w:w="1160" w:type="dxa"/>
                        <w:shd w:val="clear" w:color="auto" w:fill="D9D9D9"/>
                        <w:noWrap/>
                        <w:vAlign w:val="bottom"/>
                      </w:tcPr>
                      <w:p w:rsidR="00C035F2" w:rsidRPr="00B064E0" w:rsidRDefault="00C035F2" w:rsidP="00B965D0">
                        <w:pPr>
                          <w:spacing w:after="0" w:line="240" w:lineRule="auto"/>
                          <w:jc w:val="center"/>
                          <w:rPr>
                            <w:rFonts w:ascii="Arial" w:hAnsi="Arial" w:cs="Arial"/>
                            <w:b/>
                            <w:sz w:val="18"/>
                            <w:szCs w:val="18"/>
                          </w:rPr>
                        </w:pPr>
                        <w:r w:rsidRPr="00B064E0">
                          <w:rPr>
                            <w:rFonts w:ascii="Arial" w:hAnsi="Arial" w:cs="Arial"/>
                            <w:b/>
                            <w:sz w:val="18"/>
                            <w:szCs w:val="18"/>
                          </w:rPr>
                          <w:t>80%</w:t>
                        </w:r>
                      </w:p>
                    </w:tc>
                    <w:tc>
                      <w:tcPr>
                        <w:tcW w:w="1160" w:type="dxa"/>
                        <w:shd w:val="clear" w:color="auto" w:fill="D9D9D9"/>
                        <w:noWrap/>
                        <w:vAlign w:val="bottom"/>
                      </w:tcPr>
                      <w:p w:rsidR="00C035F2" w:rsidRPr="00B064E0" w:rsidRDefault="00C035F2" w:rsidP="00B965D0">
                        <w:pPr>
                          <w:spacing w:after="0" w:line="240" w:lineRule="auto"/>
                          <w:jc w:val="center"/>
                          <w:rPr>
                            <w:rFonts w:ascii="Arial" w:hAnsi="Arial" w:cs="Arial"/>
                            <w:b/>
                            <w:sz w:val="18"/>
                            <w:szCs w:val="18"/>
                          </w:rPr>
                        </w:pPr>
                        <w:r w:rsidRPr="00B064E0">
                          <w:rPr>
                            <w:rFonts w:ascii="Arial" w:hAnsi="Arial" w:cs="Arial"/>
                            <w:b/>
                            <w:sz w:val="18"/>
                            <w:szCs w:val="18"/>
                          </w:rPr>
                          <w:t>90%</w:t>
                        </w:r>
                      </w:p>
                    </w:tc>
                    <w:tc>
                      <w:tcPr>
                        <w:tcW w:w="1160" w:type="dxa"/>
                        <w:shd w:val="clear" w:color="auto" w:fill="D9D9D9"/>
                        <w:noWrap/>
                        <w:vAlign w:val="bottom"/>
                      </w:tcPr>
                      <w:p w:rsidR="00C035F2" w:rsidRPr="00B064E0" w:rsidRDefault="00C035F2" w:rsidP="00B965D0">
                        <w:pPr>
                          <w:spacing w:after="0" w:line="240" w:lineRule="auto"/>
                          <w:jc w:val="center"/>
                          <w:rPr>
                            <w:rFonts w:ascii="Arial" w:hAnsi="Arial" w:cs="Arial"/>
                            <w:b/>
                            <w:sz w:val="18"/>
                            <w:szCs w:val="18"/>
                          </w:rPr>
                        </w:pPr>
                        <w:r w:rsidRPr="00B064E0">
                          <w:rPr>
                            <w:rFonts w:ascii="Arial" w:hAnsi="Arial" w:cs="Arial"/>
                            <w:b/>
                            <w:sz w:val="18"/>
                            <w:szCs w:val="18"/>
                          </w:rPr>
                          <w:t>95%</w:t>
                        </w:r>
                      </w:p>
                    </w:tc>
                    <w:tc>
                      <w:tcPr>
                        <w:tcW w:w="1160" w:type="dxa"/>
                        <w:shd w:val="clear" w:color="auto" w:fill="D9D9D9"/>
                        <w:noWrap/>
                        <w:vAlign w:val="bottom"/>
                      </w:tcPr>
                      <w:p w:rsidR="00C035F2" w:rsidRPr="00B064E0" w:rsidRDefault="00C035F2" w:rsidP="00B965D0">
                        <w:pPr>
                          <w:spacing w:after="0" w:line="240" w:lineRule="auto"/>
                          <w:jc w:val="center"/>
                          <w:rPr>
                            <w:rFonts w:ascii="Arial" w:hAnsi="Arial" w:cs="Arial"/>
                            <w:b/>
                            <w:sz w:val="18"/>
                            <w:szCs w:val="18"/>
                          </w:rPr>
                        </w:pPr>
                        <w:r w:rsidRPr="00B064E0">
                          <w:rPr>
                            <w:rFonts w:ascii="Arial" w:hAnsi="Arial" w:cs="Arial"/>
                            <w:b/>
                            <w:sz w:val="18"/>
                            <w:szCs w:val="18"/>
                          </w:rPr>
                          <w:t>99%</w:t>
                        </w:r>
                      </w:p>
                    </w:tc>
                    <w:tc>
                      <w:tcPr>
                        <w:tcW w:w="1160" w:type="dxa"/>
                        <w:shd w:val="clear" w:color="auto" w:fill="D9D9D9"/>
                        <w:noWrap/>
                        <w:vAlign w:val="bottom"/>
                      </w:tcPr>
                      <w:p w:rsidR="00C035F2" w:rsidRPr="00B064E0" w:rsidRDefault="00C035F2" w:rsidP="00B965D0">
                        <w:pPr>
                          <w:spacing w:after="0" w:line="240" w:lineRule="auto"/>
                          <w:jc w:val="center"/>
                          <w:rPr>
                            <w:rFonts w:ascii="Arial" w:hAnsi="Arial" w:cs="Arial"/>
                            <w:b/>
                            <w:sz w:val="18"/>
                            <w:szCs w:val="18"/>
                          </w:rPr>
                        </w:pPr>
                        <w:r w:rsidRPr="00B064E0">
                          <w:rPr>
                            <w:rFonts w:ascii="Arial" w:hAnsi="Arial" w:cs="Arial"/>
                            <w:b/>
                            <w:sz w:val="18"/>
                            <w:szCs w:val="18"/>
                          </w:rPr>
                          <w:t>66%</w:t>
                        </w:r>
                      </w:p>
                    </w:tc>
                    <w:tc>
                      <w:tcPr>
                        <w:tcW w:w="1160" w:type="dxa"/>
                        <w:shd w:val="clear" w:color="auto" w:fill="D9D9D9"/>
                        <w:noWrap/>
                        <w:vAlign w:val="bottom"/>
                      </w:tcPr>
                      <w:p w:rsidR="00C035F2" w:rsidRPr="00B064E0" w:rsidRDefault="00C035F2" w:rsidP="00B965D0">
                        <w:pPr>
                          <w:spacing w:after="0" w:line="240" w:lineRule="auto"/>
                          <w:jc w:val="center"/>
                          <w:rPr>
                            <w:rFonts w:ascii="Arial" w:hAnsi="Arial" w:cs="Arial"/>
                            <w:b/>
                            <w:sz w:val="18"/>
                            <w:szCs w:val="18"/>
                          </w:rPr>
                        </w:pPr>
                        <w:r w:rsidRPr="00B064E0">
                          <w:rPr>
                            <w:rFonts w:ascii="Arial" w:hAnsi="Arial" w:cs="Arial"/>
                            <w:b/>
                            <w:sz w:val="18"/>
                            <w:szCs w:val="18"/>
                          </w:rPr>
                          <w:t>80%</w:t>
                        </w:r>
                      </w:p>
                    </w:tc>
                    <w:tc>
                      <w:tcPr>
                        <w:tcW w:w="1160" w:type="dxa"/>
                        <w:shd w:val="clear" w:color="auto" w:fill="D9D9D9"/>
                        <w:noWrap/>
                        <w:vAlign w:val="bottom"/>
                      </w:tcPr>
                      <w:p w:rsidR="00C035F2" w:rsidRPr="00B064E0" w:rsidRDefault="00C035F2" w:rsidP="00B965D0">
                        <w:pPr>
                          <w:spacing w:after="0" w:line="240" w:lineRule="auto"/>
                          <w:jc w:val="center"/>
                          <w:rPr>
                            <w:rFonts w:ascii="Arial" w:hAnsi="Arial" w:cs="Arial"/>
                            <w:b/>
                            <w:sz w:val="18"/>
                            <w:szCs w:val="18"/>
                          </w:rPr>
                        </w:pPr>
                        <w:r w:rsidRPr="00B064E0">
                          <w:rPr>
                            <w:rFonts w:ascii="Arial" w:hAnsi="Arial" w:cs="Arial"/>
                            <w:b/>
                            <w:sz w:val="18"/>
                            <w:szCs w:val="18"/>
                          </w:rPr>
                          <w:t>90%</w:t>
                        </w:r>
                      </w:p>
                    </w:tc>
                    <w:tc>
                      <w:tcPr>
                        <w:tcW w:w="1160" w:type="dxa"/>
                        <w:shd w:val="clear" w:color="auto" w:fill="D9D9D9"/>
                        <w:noWrap/>
                        <w:vAlign w:val="bottom"/>
                      </w:tcPr>
                      <w:p w:rsidR="00C035F2" w:rsidRPr="00B064E0" w:rsidRDefault="00C035F2" w:rsidP="00B965D0">
                        <w:pPr>
                          <w:spacing w:after="0" w:line="240" w:lineRule="auto"/>
                          <w:jc w:val="center"/>
                          <w:rPr>
                            <w:rFonts w:ascii="Arial" w:hAnsi="Arial" w:cs="Arial"/>
                            <w:b/>
                            <w:sz w:val="18"/>
                            <w:szCs w:val="18"/>
                          </w:rPr>
                        </w:pPr>
                        <w:r w:rsidRPr="00B064E0">
                          <w:rPr>
                            <w:rFonts w:ascii="Arial" w:hAnsi="Arial" w:cs="Arial"/>
                            <w:b/>
                            <w:sz w:val="18"/>
                            <w:szCs w:val="18"/>
                          </w:rPr>
                          <w:t>95%</w:t>
                        </w:r>
                      </w:p>
                    </w:tc>
                    <w:tc>
                      <w:tcPr>
                        <w:tcW w:w="1160" w:type="dxa"/>
                        <w:shd w:val="clear" w:color="auto" w:fill="D9D9D9"/>
                        <w:noWrap/>
                        <w:vAlign w:val="bottom"/>
                      </w:tcPr>
                      <w:p w:rsidR="00C035F2" w:rsidRPr="00B064E0" w:rsidRDefault="00C035F2" w:rsidP="00B965D0">
                        <w:pPr>
                          <w:spacing w:after="0" w:line="240" w:lineRule="auto"/>
                          <w:jc w:val="center"/>
                          <w:rPr>
                            <w:rFonts w:ascii="Arial" w:hAnsi="Arial" w:cs="Arial"/>
                            <w:b/>
                            <w:sz w:val="18"/>
                            <w:szCs w:val="18"/>
                          </w:rPr>
                        </w:pPr>
                        <w:r w:rsidRPr="00B064E0">
                          <w:rPr>
                            <w:rFonts w:ascii="Arial" w:hAnsi="Arial" w:cs="Arial"/>
                            <w:b/>
                            <w:sz w:val="18"/>
                            <w:szCs w:val="18"/>
                          </w:rPr>
                          <w:t>99%</w:t>
                        </w:r>
                      </w:p>
                    </w:tc>
                  </w:tr>
                  <w:tr w:rsidR="00C035F2" w:rsidRPr="00B965D0" w:rsidTr="00B064E0">
                    <w:trPr>
                      <w:trHeight w:val="264"/>
                    </w:trPr>
                    <w:tc>
                      <w:tcPr>
                        <w:tcW w:w="1160" w:type="dxa"/>
                        <w:shd w:val="clear" w:color="auto" w:fill="D9D9D9"/>
                        <w:noWrap/>
                        <w:vAlign w:val="bottom"/>
                      </w:tcPr>
                      <w:p w:rsidR="00C035F2" w:rsidRPr="00B064E0" w:rsidRDefault="00C035F2" w:rsidP="00B965D0">
                        <w:pPr>
                          <w:spacing w:after="0" w:line="240" w:lineRule="auto"/>
                          <w:rPr>
                            <w:rFonts w:ascii="Arial" w:hAnsi="Arial" w:cs="Arial"/>
                            <w:b/>
                            <w:sz w:val="18"/>
                            <w:szCs w:val="18"/>
                          </w:rPr>
                        </w:pPr>
                        <w:r w:rsidRPr="00B064E0">
                          <w:rPr>
                            <w:rFonts w:ascii="Arial" w:hAnsi="Arial" w:cs="Arial"/>
                            <w:b/>
                            <w:sz w:val="18"/>
                            <w:szCs w:val="18"/>
                          </w:rPr>
                          <w:t>Case 1</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92.16</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88.86</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86.93</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86.79</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84.44</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9.41</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9.04</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11.65</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12.06</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15.00</w:t>
                        </w:r>
                      </w:p>
                    </w:tc>
                  </w:tr>
                  <w:tr w:rsidR="00C035F2" w:rsidRPr="00B965D0" w:rsidTr="00B064E0">
                    <w:trPr>
                      <w:trHeight w:val="264"/>
                    </w:trPr>
                    <w:tc>
                      <w:tcPr>
                        <w:tcW w:w="1160" w:type="dxa"/>
                        <w:shd w:val="clear" w:color="auto" w:fill="D9D9D9"/>
                        <w:noWrap/>
                        <w:vAlign w:val="bottom"/>
                      </w:tcPr>
                      <w:p w:rsidR="00C035F2" w:rsidRPr="00B064E0" w:rsidRDefault="00C035F2" w:rsidP="00B965D0">
                        <w:pPr>
                          <w:spacing w:after="0" w:line="240" w:lineRule="auto"/>
                          <w:rPr>
                            <w:rFonts w:ascii="Arial" w:hAnsi="Arial" w:cs="Arial"/>
                            <w:b/>
                            <w:sz w:val="18"/>
                            <w:szCs w:val="18"/>
                          </w:rPr>
                        </w:pPr>
                        <w:r w:rsidRPr="00B064E0">
                          <w:rPr>
                            <w:rFonts w:ascii="Arial" w:hAnsi="Arial" w:cs="Arial"/>
                            <w:b/>
                            <w:sz w:val="18"/>
                            <w:szCs w:val="18"/>
                          </w:rPr>
                          <w:t>Case 2</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83.66</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80.24</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82.99</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76.76</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72.27</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11.29</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19.85</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23.54</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24.88</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26.40</w:t>
                        </w:r>
                      </w:p>
                    </w:tc>
                  </w:tr>
                  <w:tr w:rsidR="00C035F2" w:rsidRPr="00B965D0" w:rsidTr="00B064E0">
                    <w:trPr>
                      <w:trHeight w:val="264"/>
                    </w:trPr>
                    <w:tc>
                      <w:tcPr>
                        <w:tcW w:w="1160" w:type="dxa"/>
                        <w:shd w:val="clear" w:color="auto" w:fill="D9D9D9"/>
                        <w:noWrap/>
                        <w:vAlign w:val="bottom"/>
                      </w:tcPr>
                      <w:p w:rsidR="00C035F2" w:rsidRPr="00B064E0" w:rsidRDefault="00C035F2" w:rsidP="00B965D0">
                        <w:pPr>
                          <w:spacing w:after="0" w:line="240" w:lineRule="auto"/>
                          <w:rPr>
                            <w:rFonts w:ascii="Arial" w:hAnsi="Arial" w:cs="Arial"/>
                            <w:b/>
                            <w:sz w:val="18"/>
                            <w:szCs w:val="18"/>
                          </w:rPr>
                        </w:pPr>
                        <w:r w:rsidRPr="00B064E0">
                          <w:rPr>
                            <w:rFonts w:ascii="Arial" w:hAnsi="Arial" w:cs="Arial"/>
                            <w:b/>
                            <w:sz w:val="18"/>
                            <w:szCs w:val="18"/>
                          </w:rPr>
                          <w:t>Case 3</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99.16</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99.05</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98.57</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98.33</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98.98</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0.58</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0.70</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0.97</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1.10</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0.75</w:t>
                        </w:r>
                      </w:p>
                    </w:tc>
                  </w:tr>
                  <w:tr w:rsidR="00C035F2" w:rsidRPr="00B965D0" w:rsidTr="00B064E0">
                    <w:trPr>
                      <w:trHeight w:val="264"/>
                    </w:trPr>
                    <w:tc>
                      <w:tcPr>
                        <w:tcW w:w="1160" w:type="dxa"/>
                        <w:shd w:val="clear" w:color="auto" w:fill="D9D9D9"/>
                        <w:noWrap/>
                        <w:vAlign w:val="bottom"/>
                      </w:tcPr>
                      <w:p w:rsidR="00C035F2" w:rsidRPr="00B064E0" w:rsidRDefault="00C035F2" w:rsidP="00B965D0">
                        <w:pPr>
                          <w:spacing w:after="0" w:line="240" w:lineRule="auto"/>
                          <w:rPr>
                            <w:rFonts w:ascii="Arial" w:hAnsi="Arial" w:cs="Arial"/>
                            <w:b/>
                            <w:sz w:val="18"/>
                            <w:szCs w:val="18"/>
                          </w:rPr>
                        </w:pPr>
                        <w:r w:rsidRPr="00B064E0">
                          <w:rPr>
                            <w:rFonts w:ascii="Arial" w:hAnsi="Arial" w:cs="Arial"/>
                            <w:b/>
                            <w:sz w:val="18"/>
                            <w:szCs w:val="18"/>
                          </w:rPr>
                          <w:t>Case 4</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99.51</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99.42</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99.14</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99.00</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99.38</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0.52</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0.76</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0.86</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1.14</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1.42</w:t>
                        </w:r>
                      </w:p>
                    </w:tc>
                  </w:tr>
                  <w:tr w:rsidR="00C035F2" w:rsidRPr="00B965D0" w:rsidTr="00B064E0">
                    <w:trPr>
                      <w:trHeight w:val="264"/>
                    </w:trPr>
                    <w:tc>
                      <w:tcPr>
                        <w:tcW w:w="1160" w:type="dxa"/>
                        <w:shd w:val="clear" w:color="auto" w:fill="D9D9D9"/>
                        <w:noWrap/>
                        <w:vAlign w:val="bottom"/>
                      </w:tcPr>
                      <w:p w:rsidR="00C035F2" w:rsidRPr="00B064E0" w:rsidRDefault="00C035F2" w:rsidP="00B965D0">
                        <w:pPr>
                          <w:spacing w:after="0" w:line="240" w:lineRule="auto"/>
                          <w:rPr>
                            <w:rFonts w:ascii="Arial" w:hAnsi="Arial" w:cs="Arial"/>
                            <w:b/>
                            <w:sz w:val="18"/>
                            <w:szCs w:val="18"/>
                          </w:rPr>
                        </w:pPr>
                        <w:r w:rsidRPr="00B064E0">
                          <w:rPr>
                            <w:rFonts w:ascii="Arial" w:hAnsi="Arial" w:cs="Arial"/>
                            <w:b/>
                            <w:sz w:val="18"/>
                            <w:szCs w:val="18"/>
                          </w:rPr>
                          <w:t>Case 5</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90.22</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87.64</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85.79</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84.72</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83.85</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9.00</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12.06</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13.53</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17.43</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15.70</w:t>
                        </w:r>
                      </w:p>
                    </w:tc>
                  </w:tr>
                  <w:tr w:rsidR="00C035F2" w:rsidRPr="00B965D0" w:rsidTr="00B064E0">
                    <w:trPr>
                      <w:trHeight w:val="264"/>
                    </w:trPr>
                    <w:tc>
                      <w:tcPr>
                        <w:tcW w:w="1160" w:type="dxa"/>
                        <w:shd w:val="clear" w:color="auto" w:fill="D9D9D9"/>
                        <w:noWrap/>
                        <w:vAlign w:val="bottom"/>
                      </w:tcPr>
                      <w:p w:rsidR="00C035F2" w:rsidRPr="00B064E0" w:rsidRDefault="00C035F2" w:rsidP="00B965D0">
                        <w:pPr>
                          <w:spacing w:after="0" w:line="240" w:lineRule="auto"/>
                          <w:rPr>
                            <w:rFonts w:ascii="Arial" w:hAnsi="Arial" w:cs="Arial"/>
                            <w:b/>
                            <w:sz w:val="18"/>
                            <w:szCs w:val="18"/>
                          </w:rPr>
                        </w:pPr>
                        <w:r w:rsidRPr="00B064E0">
                          <w:rPr>
                            <w:rFonts w:ascii="Arial" w:hAnsi="Arial" w:cs="Arial"/>
                            <w:b/>
                            <w:sz w:val="18"/>
                            <w:szCs w:val="18"/>
                          </w:rPr>
                          <w:t>Case 6</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85.56</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76.59</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74.70</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76.53</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67.72</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10.71</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10.73</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12.80</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17.31</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16.15</w:t>
                        </w:r>
                      </w:p>
                    </w:tc>
                  </w:tr>
                  <w:tr w:rsidR="00C035F2" w:rsidRPr="00B965D0" w:rsidTr="00B064E0">
                    <w:trPr>
                      <w:trHeight w:val="264"/>
                    </w:trPr>
                    <w:tc>
                      <w:tcPr>
                        <w:tcW w:w="1160" w:type="dxa"/>
                        <w:shd w:val="clear" w:color="auto" w:fill="D9D9D9"/>
                        <w:noWrap/>
                        <w:vAlign w:val="bottom"/>
                      </w:tcPr>
                      <w:p w:rsidR="00C035F2" w:rsidRPr="00B064E0" w:rsidRDefault="00C035F2" w:rsidP="00B965D0">
                        <w:pPr>
                          <w:spacing w:after="0" w:line="240" w:lineRule="auto"/>
                          <w:rPr>
                            <w:rFonts w:ascii="Arial" w:hAnsi="Arial" w:cs="Arial"/>
                            <w:b/>
                            <w:sz w:val="18"/>
                            <w:szCs w:val="18"/>
                          </w:rPr>
                        </w:pPr>
                        <w:r w:rsidRPr="00B064E0">
                          <w:rPr>
                            <w:rFonts w:ascii="Arial" w:hAnsi="Arial" w:cs="Arial"/>
                            <w:b/>
                            <w:sz w:val="18"/>
                            <w:szCs w:val="18"/>
                          </w:rPr>
                          <w:t>Case 7</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99.10</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98.89</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98.51</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98.38</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98.44</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0.62</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0.83</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0.92</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1.09</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1.00</w:t>
                        </w:r>
                      </w:p>
                    </w:tc>
                  </w:tr>
                  <w:tr w:rsidR="00C035F2" w:rsidRPr="00B965D0" w:rsidTr="00B064E0">
                    <w:trPr>
                      <w:trHeight w:val="264"/>
                    </w:trPr>
                    <w:tc>
                      <w:tcPr>
                        <w:tcW w:w="1160" w:type="dxa"/>
                        <w:shd w:val="clear" w:color="auto" w:fill="D9D9D9"/>
                        <w:noWrap/>
                        <w:vAlign w:val="bottom"/>
                      </w:tcPr>
                      <w:p w:rsidR="00C035F2" w:rsidRPr="00B064E0" w:rsidRDefault="00C035F2" w:rsidP="00B965D0">
                        <w:pPr>
                          <w:spacing w:after="0" w:line="240" w:lineRule="auto"/>
                          <w:rPr>
                            <w:rFonts w:ascii="Arial" w:hAnsi="Arial" w:cs="Arial"/>
                            <w:b/>
                            <w:sz w:val="18"/>
                            <w:szCs w:val="18"/>
                          </w:rPr>
                        </w:pPr>
                        <w:r w:rsidRPr="00B064E0">
                          <w:rPr>
                            <w:rFonts w:ascii="Arial" w:hAnsi="Arial" w:cs="Arial"/>
                            <w:b/>
                            <w:sz w:val="18"/>
                            <w:szCs w:val="18"/>
                          </w:rPr>
                          <w:t>Case 8</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99.49</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99.34</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99.29</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99.34</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99.11</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0.55</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0.69</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0.88</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0.84</w:t>
                        </w:r>
                      </w:p>
                    </w:tc>
                    <w:tc>
                      <w:tcPr>
                        <w:tcW w:w="1160" w:type="dxa"/>
                        <w:shd w:val="clear" w:color="auto" w:fill="D9D9D9"/>
                        <w:noWrap/>
                        <w:vAlign w:val="bottom"/>
                      </w:tcPr>
                      <w:p w:rsidR="00C035F2" w:rsidRPr="00B965D0" w:rsidRDefault="00C035F2" w:rsidP="00B965D0">
                        <w:pPr>
                          <w:spacing w:after="0" w:line="240" w:lineRule="auto"/>
                          <w:jc w:val="center"/>
                          <w:rPr>
                            <w:rFonts w:ascii="Arial" w:hAnsi="Arial" w:cs="Arial"/>
                            <w:sz w:val="18"/>
                            <w:szCs w:val="18"/>
                          </w:rPr>
                        </w:pPr>
                        <w:r w:rsidRPr="00B965D0">
                          <w:rPr>
                            <w:rFonts w:ascii="Arial" w:hAnsi="Arial" w:cs="Arial"/>
                            <w:sz w:val="18"/>
                            <w:szCs w:val="18"/>
                          </w:rPr>
                          <w:t>1.17</w:t>
                        </w:r>
                      </w:p>
                    </w:tc>
                  </w:tr>
                </w:tbl>
                <w:p w:rsidR="00C035F2" w:rsidRPr="008F2F82" w:rsidRDefault="00C035F2" w:rsidP="00B965D0">
                  <w:pPr>
                    <w:spacing w:after="0" w:line="240" w:lineRule="auto"/>
                    <w:jc w:val="both"/>
                    <w:rPr>
                      <w:rFonts w:ascii="Times New Roman" w:hAnsi="Times New Roman"/>
                      <w:sz w:val="20"/>
                    </w:rPr>
                  </w:pPr>
                </w:p>
                <w:p w:rsidR="00C035F2" w:rsidRDefault="00C035F2" w:rsidP="00B965D0">
                  <w:pPr>
                    <w:spacing w:after="0" w:line="240" w:lineRule="auto"/>
                    <w:jc w:val="both"/>
                    <w:rPr>
                      <w:rFonts w:ascii="Times New Roman" w:hAnsi="Times New Roman"/>
                      <w:sz w:val="20"/>
                    </w:rPr>
                  </w:pPr>
                  <w:r>
                    <w:rPr>
                      <w:rFonts w:ascii="Times New Roman" w:hAnsi="Times New Roman"/>
                      <w:sz w:val="20"/>
                    </w:rPr>
                    <w:t>Figure 4:</w:t>
                  </w:r>
                  <w:r w:rsidRPr="00EC6BEA">
                    <w:rPr>
                      <w:rFonts w:ascii="Times New Roman" w:hAnsi="Times New Roman"/>
                      <w:sz w:val="20"/>
                    </w:rPr>
                    <w:t xml:space="preserve"> </w:t>
                  </w:r>
                  <w:r>
                    <w:rPr>
                      <w:rFonts w:ascii="Times New Roman" w:hAnsi="Times New Roman"/>
                      <w:sz w:val="20"/>
                    </w:rPr>
                    <w:t>The summary of the results of the simulation. The major source of error in this simulation is the error in position of the inspector as modeled by the Rayleigh distribution which is an approximation of the behavior of GPS error with a RMS error of 1.5 meter.</w:t>
                  </w:r>
                </w:p>
              </w:txbxContent>
            </v:textbox>
            <w10:wrap type="square"/>
          </v:shape>
        </w:pict>
      </w:r>
    </w:p>
    <w:p w:rsidR="00C035F2" w:rsidRDefault="00C035F2" w:rsidP="00E436FC">
      <w:pPr>
        <w:spacing w:after="0" w:line="240" w:lineRule="auto"/>
        <w:jc w:val="both"/>
        <w:rPr>
          <w:rFonts w:ascii="Times New Roman" w:hAnsi="Times New Roman"/>
        </w:rPr>
      </w:pPr>
      <w:r>
        <w:rPr>
          <w:rFonts w:ascii="Times New Roman" w:hAnsi="Times New Roman"/>
        </w:rPr>
        <w:t xml:space="preserve">However the point cloud used as a representation of the geometry of the </w:t>
      </w:r>
      <w:smartTag w:uri="urn:schemas-microsoft-com:office:smarttags" w:element="place">
        <w:smartTag w:uri="urn:schemas-microsoft-com:office:smarttags" w:element="PlaceName">
          <w:r>
            <w:rPr>
              <w:rFonts w:ascii="Times New Roman" w:hAnsi="Times New Roman"/>
            </w:rPr>
            <w:t>Telegraph</w:t>
          </w:r>
        </w:smartTag>
        <w:r>
          <w:rPr>
            <w:rFonts w:ascii="Times New Roman" w:hAnsi="Times New Roman"/>
          </w:rPr>
          <w:t xml:space="preserve"> </w:t>
        </w:r>
        <w:smartTag w:uri="urn:schemas-microsoft-com:office:smarttags" w:element="PlaceType">
          <w:smartTag w:uri="urn:schemas-microsoft-com:office:smarttags" w:element="PlaceName">
            <w:r>
              <w:rPr>
                <w:rFonts w:ascii="Times New Roman" w:hAnsi="Times New Roman"/>
              </w:rPr>
              <w:t>Road</w:t>
            </w:r>
          </w:smartTag>
        </w:smartTag>
        <w:r>
          <w:rPr>
            <w:rFonts w:ascii="Times New Roman" w:hAnsi="Times New Roman"/>
          </w:rPr>
          <w:t xml:space="preserve"> </w:t>
        </w:r>
        <w:smartTag w:uri="urn:schemas-microsoft-com:office:smarttags" w:element="place">
          <w:r>
            <w:rPr>
              <w:rFonts w:ascii="Times New Roman" w:hAnsi="Times New Roman"/>
            </w:rPr>
            <w:t>Bridge</w:t>
          </w:r>
        </w:smartTag>
      </w:smartTag>
      <w:r>
        <w:rPr>
          <w:rFonts w:ascii="Times New Roman" w:hAnsi="Times New Roman"/>
        </w:rPr>
        <w:t xml:space="preserve"> for this preliminary simulation was the Senstore FEM data set and is not the best representation of the geometry of the bridge. To this end, the research team has initiated a JV with Weidlinger which will help define a more accurate representation of the bridge geometry in order to develop streamlined context-aware support applications for bridge inspectors.</w:t>
      </w:r>
    </w:p>
    <w:p w:rsidR="00C035F2" w:rsidRDefault="00C035F2" w:rsidP="00E436FC">
      <w:pPr>
        <w:spacing w:after="0" w:line="240" w:lineRule="auto"/>
        <w:jc w:val="both"/>
        <w:rPr>
          <w:rFonts w:ascii="Times New Roman" w:hAnsi="Times New Roman"/>
        </w:rPr>
      </w:pPr>
    </w:p>
    <w:p w:rsidR="00C035F2" w:rsidRDefault="00C035F2" w:rsidP="00076FA2">
      <w:pPr>
        <w:spacing w:after="0" w:line="240" w:lineRule="auto"/>
        <w:ind w:firstLine="720"/>
        <w:jc w:val="both"/>
        <w:rPr>
          <w:rFonts w:ascii="Times New Roman" w:hAnsi="Times New Roman"/>
        </w:rPr>
      </w:pPr>
    </w:p>
    <w:p w:rsidR="00C035F2" w:rsidRPr="0097568F" w:rsidRDefault="00C035F2" w:rsidP="006A1A65">
      <w:pPr>
        <w:pStyle w:val="msolistparagraph0"/>
        <w:spacing w:before="0" w:beforeAutospacing="0" w:after="0" w:afterAutospacing="0"/>
        <w:jc w:val="both"/>
        <w:rPr>
          <w:b/>
          <w:bCs/>
          <w:sz w:val="28"/>
          <w:szCs w:val="28"/>
        </w:rPr>
      </w:pPr>
      <w:r>
        <w:rPr>
          <w:b/>
          <w:bCs/>
          <w:sz w:val="28"/>
          <w:szCs w:val="28"/>
        </w:rPr>
        <w:t>Problems and Opportunities:</w:t>
      </w:r>
    </w:p>
    <w:p w:rsidR="00C035F2" w:rsidRDefault="00C035F2" w:rsidP="006A1A65">
      <w:pPr>
        <w:spacing w:after="0" w:line="240" w:lineRule="auto"/>
        <w:rPr>
          <w:rFonts w:ascii="Times New Roman" w:hAnsi="Times New Roman"/>
          <w:b/>
          <w:bCs/>
          <w:color w:val="000000"/>
          <w:sz w:val="28"/>
          <w:szCs w:val="28"/>
        </w:rPr>
      </w:pPr>
    </w:p>
    <w:p w:rsidR="00C035F2" w:rsidRPr="00BF6A1C" w:rsidRDefault="00C035F2" w:rsidP="006A1A65">
      <w:pPr>
        <w:spacing w:after="0" w:line="240" w:lineRule="auto"/>
        <w:rPr>
          <w:rFonts w:ascii="Times New Roman" w:hAnsi="Times New Roman"/>
          <w:b/>
          <w:bCs/>
          <w:color w:val="000000"/>
          <w:sz w:val="28"/>
          <w:szCs w:val="28"/>
        </w:rPr>
      </w:pPr>
      <w:r w:rsidRPr="00BF6A1C">
        <w:rPr>
          <w:rFonts w:ascii="Times New Roman" w:hAnsi="Times New Roman"/>
          <w:b/>
          <w:bCs/>
          <w:color w:val="000000"/>
          <w:sz w:val="28"/>
          <w:szCs w:val="28"/>
        </w:rPr>
        <w:t>Impact Opportunities:</w:t>
      </w:r>
    </w:p>
    <w:p w:rsidR="00C035F2" w:rsidRDefault="00C035F2" w:rsidP="006A1A65">
      <w:pPr>
        <w:spacing w:after="0" w:line="240" w:lineRule="auto"/>
        <w:jc w:val="both"/>
        <w:rPr>
          <w:rFonts w:ascii="Times New Roman" w:hAnsi="Times New Roman"/>
          <w:color w:val="FF0000"/>
        </w:rPr>
      </w:pPr>
    </w:p>
    <w:p w:rsidR="00C035F2" w:rsidRPr="00147736" w:rsidRDefault="00C035F2" w:rsidP="006A1A65">
      <w:pPr>
        <w:spacing w:after="0" w:line="240" w:lineRule="auto"/>
        <w:jc w:val="both"/>
        <w:rPr>
          <w:rFonts w:ascii="Times New Roman" w:hAnsi="Times New Roman"/>
          <w:i/>
          <w:iCs/>
        </w:rPr>
      </w:pPr>
      <w:r w:rsidRPr="00147736">
        <w:rPr>
          <w:rFonts w:ascii="Times New Roman" w:hAnsi="Times New Roman"/>
          <w:i/>
          <w:iCs/>
        </w:rPr>
        <w:t>Papers Published:</w:t>
      </w:r>
    </w:p>
    <w:p w:rsidR="00C035F2" w:rsidRDefault="00C035F2" w:rsidP="006A1A65">
      <w:pPr>
        <w:spacing w:after="0" w:line="240" w:lineRule="auto"/>
        <w:jc w:val="both"/>
        <w:rPr>
          <w:rFonts w:ascii="Times New Roman" w:hAnsi="Times New Roman"/>
          <w:i/>
          <w:iCs/>
          <w:color w:val="000000"/>
        </w:rPr>
      </w:pPr>
    </w:p>
    <w:p w:rsidR="00C035F2" w:rsidRPr="009C336F" w:rsidRDefault="00C035F2" w:rsidP="006A1A65">
      <w:pPr>
        <w:spacing w:after="0" w:line="240" w:lineRule="auto"/>
        <w:jc w:val="both"/>
        <w:rPr>
          <w:rFonts w:ascii="Times New Roman" w:hAnsi="Times New Roman"/>
          <w:i/>
          <w:iCs/>
          <w:color w:val="000000"/>
        </w:rPr>
      </w:pPr>
      <w:r w:rsidRPr="009C336F">
        <w:rPr>
          <w:rFonts w:ascii="Times New Roman" w:hAnsi="Times New Roman"/>
          <w:i/>
          <w:iCs/>
          <w:color w:val="000000"/>
        </w:rPr>
        <w:t>Patents Filed and/or Granted Based on TIP-Funded Project:</w:t>
      </w:r>
    </w:p>
    <w:p w:rsidR="00C035F2" w:rsidRPr="009C336F" w:rsidRDefault="00C035F2" w:rsidP="006A1A65">
      <w:pPr>
        <w:spacing w:after="0" w:line="240" w:lineRule="auto"/>
        <w:ind w:left="720"/>
        <w:jc w:val="both"/>
        <w:rPr>
          <w:rFonts w:ascii="Times New Roman" w:hAnsi="Times New Roman"/>
          <w:color w:val="000000"/>
        </w:rPr>
      </w:pPr>
    </w:p>
    <w:p w:rsidR="00C035F2" w:rsidRDefault="00C035F2" w:rsidP="006A1A65">
      <w:pPr>
        <w:spacing w:after="0" w:line="240" w:lineRule="auto"/>
        <w:jc w:val="both"/>
        <w:rPr>
          <w:rFonts w:ascii="Times New Roman" w:hAnsi="Times New Roman"/>
          <w:i/>
          <w:iCs/>
          <w:color w:val="000000"/>
        </w:rPr>
      </w:pPr>
      <w:r>
        <w:rPr>
          <w:rFonts w:ascii="Times New Roman" w:hAnsi="Times New Roman"/>
          <w:i/>
          <w:iCs/>
          <w:color w:val="000000"/>
        </w:rPr>
        <w:t>Invited Presentations:</w:t>
      </w:r>
    </w:p>
    <w:p w:rsidR="00C035F2" w:rsidRDefault="00C035F2" w:rsidP="006A1A65">
      <w:pPr>
        <w:spacing w:after="0" w:line="240" w:lineRule="auto"/>
        <w:jc w:val="both"/>
        <w:rPr>
          <w:rFonts w:ascii="Times New Roman" w:hAnsi="Times New Roman"/>
          <w:i/>
          <w:iCs/>
          <w:color w:val="000000"/>
        </w:rPr>
      </w:pPr>
    </w:p>
    <w:p w:rsidR="00C035F2" w:rsidRPr="009C336F" w:rsidRDefault="00C035F2" w:rsidP="006A1A65">
      <w:pPr>
        <w:spacing w:after="0" w:line="240" w:lineRule="auto"/>
        <w:jc w:val="both"/>
        <w:rPr>
          <w:rFonts w:ascii="Times New Roman" w:hAnsi="Times New Roman"/>
          <w:i/>
          <w:iCs/>
          <w:color w:val="000000"/>
        </w:rPr>
      </w:pPr>
      <w:r w:rsidRPr="009C336F">
        <w:rPr>
          <w:rFonts w:ascii="Times New Roman" w:hAnsi="Times New Roman"/>
          <w:i/>
          <w:iCs/>
          <w:color w:val="000000"/>
        </w:rPr>
        <w:t>Contacts and Discussions Concerning Early Adoption:</w:t>
      </w:r>
    </w:p>
    <w:p w:rsidR="00C035F2" w:rsidRDefault="00C035F2" w:rsidP="006A1A65">
      <w:pPr>
        <w:spacing w:after="0" w:line="240" w:lineRule="auto"/>
        <w:ind w:left="720"/>
        <w:jc w:val="both"/>
        <w:rPr>
          <w:rFonts w:ascii="Times New Roman" w:hAnsi="Times New Roman"/>
          <w:color w:val="000000"/>
        </w:rPr>
      </w:pPr>
    </w:p>
    <w:p w:rsidR="00C035F2" w:rsidRPr="00147736" w:rsidRDefault="00C035F2" w:rsidP="006A1A65">
      <w:pPr>
        <w:spacing w:after="0" w:line="240" w:lineRule="auto"/>
        <w:jc w:val="both"/>
        <w:rPr>
          <w:rFonts w:ascii="Times New Roman" w:hAnsi="Times New Roman"/>
          <w:i/>
          <w:iCs/>
          <w:color w:val="000000"/>
        </w:rPr>
      </w:pPr>
      <w:r w:rsidRPr="00147736">
        <w:rPr>
          <w:rFonts w:ascii="Times New Roman" w:hAnsi="Times New Roman"/>
          <w:i/>
          <w:iCs/>
          <w:color w:val="000000"/>
        </w:rPr>
        <w:t>Media/Press Releases:</w:t>
      </w:r>
    </w:p>
    <w:p w:rsidR="00C035F2" w:rsidRPr="009C336F" w:rsidRDefault="00C035F2" w:rsidP="006A1A65">
      <w:pPr>
        <w:spacing w:after="0" w:line="240" w:lineRule="auto"/>
        <w:jc w:val="both"/>
        <w:rPr>
          <w:rFonts w:ascii="Times New Roman" w:hAnsi="Times New Roman"/>
          <w:color w:val="000000"/>
        </w:rPr>
      </w:pPr>
    </w:p>
    <w:p w:rsidR="00C035F2" w:rsidRPr="009C336F" w:rsidRDefault="00C035F2" w:rsidP="006A1A65">
      <w:pPr>
        <w:spacing w:after="0" w:line="240" w:lineRule="auto"/>
        <w:jc w:val="both"/>
        <w:rPr>
          <w:rFonts w:ascii="Times New Roman" w:hAnsi="Times New Roman"/>
          <w:i/>
          <w:iCs/>
          <w:color w:val="000000"/>
        </w:rPr>
      </w:pPr>
      <w:r w:rsidRPr="009C336F">
        <w:rPr>
          <w:rFonts w:ascii="Times New Roman" w:hAnsi="Times New Roman"/>
          <w:i/>
          <w:iCs/>
          <w:color w:val="000000"/>
        </w:rPr>
        <w:t>Licensing or other Dissemination Arrangements:</w:t>
      </w:r>
    </w:p>
    <w:p w:rsidR="00C035F2" w:rsidRPr="009C336F" w:rsidRDefault="00C035F2" w:rsidP="006A1A65">
      <w:pPr>
        <w:spacing w:after="0" w:line="240" w:lineRule="auto"/>
        <w:jc w:val="both"/>
        <w:rPr>
          <w:rFonts w:ascii="Times New Roman" w:hAnsi="Times New Roman"/>
          <w:color w:val="000000"/>
        </w:rPr>
      </w:pPr>
    </w:p>
    <w:p w:rsidR="00C035F2" w:rsidRPr="00147736" w:rsidRDefault="00C035F2" w:rsidP="006A1A65">
      <w:pPr>
        <w:spacing w:after="0" w:line="240" w:lineRule="auto"/>
        <w:rPr>
          <w:rFonts w:ascii="Times New Roman" w:hAnsi="Times New Roman"/>
          <w:i/>
          <w:iCs/>
        </w:rPr>
      </w:pPr>
      <w:r w:rsidRPr="00147736">
        <w:rPr>
          <w:rFonts w:ascii="Times New Roman" w:hAnsi="Times New Roman"/>
          <w:i/>
          <w:iCs/>
        </w:rPr>
        <w:t>Websites:</w:t>
      </w:r>
    </w:p>
    <w:p w:rsidR="00C035F2" w:rsidRDefault="00C035F2" w:rsidP="006A1A65">
      <w:pPr>
        <w:spacing w:after="0" w:line="240" w:lineRule="auto"/>
        <w:rPr>
          <w:rFonts w:ascii="Times New Roman" w:hAnsi="Times New Roman"/>
          <w:b/>
          <w:bCs/>
          <w:color w:val="FF0000"/>
          <w:sz w:val="28"/>
          <w:szCs w:val="28"/>
        </w:rPr>
      </w:pPr>
    </w:p>
    <w:p w:rsidR="00C035F2" w:rsidRPr="00147736" w:rsidRDefault="00C035F2" w:rsidP="006A1A65">
      <w:pPr>
        <w:spacing w:after="0" w:line="240" w:lineRule="auto"/>
        <w:rPr>
          <w:rFonts w:ascii="Times New Roman" w:hAnsi="Times New Roman"/>
          <w:i/>
          <w:iCs/>
        </w:rPr>
      </w:pPr>
      <w:r w:rsidRPr="00147736">
        <w:rPr>
          <w:rFonts w:ascii="Times New Roman" w:hAnsi="Times New Roman"/>
          <w:i/>
          <w:iCs/>
        </w:rPr>
        <w:t>Engineering</w:t>
      </w:r>
      <w:r>
        <w:rPr>
          <w:rFonts w:ascii="Times New Roman" w:hAnsi="Times New Roman"/>
          <w:i/>
          <w:iCs/>
        </w:rPr>
        <w:t>/Outreach</w:t>
      </w:r>
      <w:r w:rsidRPr="00147736">
        <w:rPr>
          <w:rFonts w:ascii="Times New Roman" w:hAnsi="Times New Roman"/>
          <w:i/>
          <w:iCs/>
        </w:rPr>
        <w:t>:</w:t>
      </w:r>
    </w:p>
    <w:p w:rsidR="00C035F2" w:rsidRPr="00147736" w:rsidRDefault="00C035F2" w:rsidP="006A1A65">
      <w:pPr>
        <w:spacing w:after="0" w:line="240" w:lineRule="auto"/>
        <w:jc w:val="both"/>
        <w:rPr>
          <w:rFonts w:ascii="Times New Roman" w:hAnsi="Times New Roman"/>
          <w:color w:val="000000"/>
        </w:rPr>
      </w:pPr>
    </w:p>
    <w:sectPr w:rsidR="00C035F2" w:rsidRPr="00147736" w:rsidSect="00423703">
      <w:footerReference w:type="default" r:id="rId14"/>
      <w:pgSz w:w="15840" w:h="12240" w:orient="landscape"/>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2FBC" w:rsidRDefault="003C2FBC" w:rsidP="00127BD1">
      <w:pPr>
        <w:spacing w:after="0" w:line="240" w:lineRule="auto"/>
      </w:pPr>
      <w:r>
        <w:separator/>
      </w:r>
    </w:p>
  </w:endnote>
  <w:endnote w:type="continuationSeparator" w:id="0">
    <w:p w:rsidR="003C2FBC" w:rsidRDefault="003C2FBC" w:rsidP="00127B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5F2" w:rsidRPr="00127BD1" w:rsidRDefault="00C035F2" w:rsidP="00127BD1">
    <w:pPr>
      <w:tabs>
        <w:tab w:val="left" w:pos="2880"/>
      </w:tabs>
      <w:spacing w:after="0"/>
      <w:ind w:left="2880" w:hanging="2880"/>
      <w:rPr>
        <w:rFonts w:ascii="Times New Roman" w:hAnsi="Times New Roman"/>
      </w:rPr>
    </w:pPr>
    <w:r>
      <w:rPr>
        <w:rFonts w:ascii="Times New Roman" w:hAnsi="Times New Roman"/>
      </w:rPr>
      <w:t xml:space="preserve">Confidential - </w:t>
    </w:r>
    <w:r w:rsidRPr="00127BD1">
      <w:rPr>
        <w:rFonts w:ascii="Times New Roman" w:hAnsi="Times New Roman"/>
      </w:rPr>
      <w:t xml:space="preserve">Proprietary Information – </w:t>
    </w:r>
    <w:r w:rsidRPr="007F7F60">
      <w:rPr>
        <w:rFonts w:ascii="Times New Roman" w:hAnsi="Times New Roman"/>
      </w:rPr>
      <w:t>Cooperative Agreement</w:t>
    </w:r>
    <w:r>
      <w:rPr>
        <w:rFonts w:ascii="Times New Roman" w:hAnsi="Times New Roman"/>
      </w:rPr>
      <w:t xml:space="preserve"> </w:t>
    </w:r>
    <w:r w:rsidRPr="007F7F60">
      <w:rPr>
        <w:rFonts w:ascii="Times New Roman" w:hAnsi="Times New Roman"/>
      </w:rPr>
      <w:t>70NANB9H9008</w:t>
    </w:r>
    <w:r w:rsidRPr="00127BD1">
      <w:rPr>
        <w:rFonts w:ascii="Times New Roman" w:hAnsi="Times New Roman"/>
      </w:rPr>
      <w:tab/>
    </w:r>
    <w:r>
      <w:rPr>
        <w:rFonts w:ascii="Times New Roman" w:hAnsi="Times New Roman"/>
      </w:rPr>
      <w:tab/>
    </w:r>
    <w:r w:rsidR="00360476" w:rsidRPr="00127BD1">
      <w:rPr>
        <w:rFonts w:ascii="Times New Roman" w:hAnsi="Times New Roman"/>
      </w:rPr>
      <w:fldChar w:fldCharType="begin"/>
    </w:r>
    <w:r w:rsidRPr="00127BD1">
      <w:rPr>
        <w:rFonts w:ascii="Times New Roman" w:hAnsi="Times New Roman"/>
      </w:rPr>
      <w:instrText xml:space="preserve"> PAGE   \* MERGEFORMAT </w:instrText>
    </w:r>
    <w:r w:rsidR="00360476" w:rsidRPr="00127BD1">
      <w:rPr>
        <w:rFonts w:ascii="Times New Roman" w:hAnsi="Times New Roman"/>
      </w:rPr>
      <w:fldChar w:fldCharType="separate"/>
    </w:r>
    <w:r w:rsidR="004C7E68">
      <w:rPr>
        <w:rFonts w:ascii="Times New Roman" w:hAnsi="Times New Roman"/>
        <w:noProof/>
      </w:rPr>
      <w:t>4</w:t>
    </w:r>
    <w:r w:rsidR="00360476" w:rsidRPr="00127BD1">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2FBC" w:rsidRDefault="003C2FBC" w:rsidP="00127BD1">
      <w:pPr>
        <w:spacing w:after="0" w:line="240" w:lineRule="auto"/>
      </w:pPr>
      <w:r>
        <w:separator/>
      </w:r>
    </w:p>
  </w:footnote>
  <w:footnote w:type="continuationSeparator" w:id="0">
    <w:p w:rsidR="003C2FBC" w:rsidRDefault="003C2FBC" w:rsidP="00127B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F964594"/>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FAE6D57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DB8199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55EEF01C"/>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6A4436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A0A63F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C1699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B5A33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3D8E5B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7641998"/>
    <w:lvl w:ilvl="0">
      <w:start w:val="1"/>
      <w:numFmt w:val="bullet"/>
      <w:lvlText w:val=""/>
      <w:lvlJc w:val="left"/>
      <w:pPr>
        <w:tabs>
          <w:tab w:val="num" w:pos="360"/>
        </w:tabs>
        <w:ind w:left="360" w:hanging="360"/>
      </w:pPr>
      <w:rPr>
        <w:rFonts w:ascii="Symbol" w:hAnsi="Symbol" w:hint="default"/>
      </w:rPr>
    </w:lvl>
  </w:abstractNum>
  <w:abstractNum w:abstractNumId="10">
    <w:nsid w:val="015707CE"/>
    <w:multiLevelType w:val="hybridMultilevel"/>
    <w:tmpl w:val="EB8E649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0DB75C91"/>
    <w:multiLevelType w:val="hybridMultilevel"/>
    <w:tmpl w:val="4E9E6982"/>
    <w:lvl w:ilvl="0" w:tplc="96FCF144">
      <w:start w:val="1"/>
      <w:numFmt w:val="lowerLetter"/>
      <w:lvlText w:val="(%1)"/>
      <w:lvlJc w:val="left"/>
      <w:pPr>
        <w:ind w:left="1080" w:hanging="360"/>
      </w:pPr>
      <w:rPr>
        <w:rFonts w:cs="Times New Roman" w:hint="default"/>
        <w:i/>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nsid w:val="0EE352EA"/>
    <w:multiLevelType w:val="hybridMultilevel"/>
    <w:tmpl w:val="4718DB10"/>
    <w:lvl w:ilvl="0" w:tplc="5456D9EC">
      <w:start w:val="1"/>
      <w:numFmt w:val="bullet"/>
      <w:lvlText w:val=""/>
      <w:lvlJc w:val="left"/>
      <w:pPr>
        <w:tabs>
          <w:tab w:val="num" w:pos="600"/>
        </w:tabs>
        <w:ind w:left="600" w:hanging="360"/>
      </w:pPr>
      <w:rPr>
        <w:rFonts w:ascii="Symbol" w:hAnsi="Symbol" w:hint="default"/>
        <w:color w:val="auto"/>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3">
    <w:nsid w:val="10A661C8"/>
    <w:multiLevelType w:val="hybridMultilevel"/>
    <w:tmpl w:val="EB8E649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16D04F7C"/>
    <w:multiLevelType w:val="hybridMultilevel"/>
    <w:tmpl w:val="2996A3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92548A4"/>
    <w:multiLevelType w:val="hybridMultilevel"/>
    <w:tmpl w:val="182C90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C121B7C"/>
    <w:multiLevelType w:val="hybridMultilevel"/>
    <w:tmpl w:val="EB8E649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2097735E"/>
    <w:multiLevelType w:val="hybridMultilevel"/>
    <w:tmpl w:val="B8484B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3396D20"/>
    <w:multiLevelType w:val="hybridMultilevel"/>
    <w:tmpl w:val="D9482418"/>
    <w:lvl w:ilvl="0" w:tplc="666E1EA4">
      <w:start w:val="1050"/>
      <w:numFmt w:val="upperRoman"/>
      <w:lvlText w:val="(%1)"/>
      <w:lvlJc w:val="left"/>
      <w:pPr>
        <w:tabs>
          <w:tab w:val="num" w:pos="1080"/>
        </w:tabs>
        <w:ind w:left="1080" w:hanging="72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26391360"/>
    <w:multiLevelType w:val="hybridMultilevel"/>
    <w:tmpl w:val="E83033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74F2EB7"/>
    <w:multiLevelType w:val="hybridMultilevel"/>
    <w:tmpl w:val="C128A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4D7CD0"/>
    <w:multiLevelType w:val="hybridMultilevel"/>
    <w:tmpl w:val="72AED8D6"/>
    <w:lvl w:ilvl="0" w:tplc="DA30085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5B47BD4"/>
    <w:multiLevelType w:val="hybridMultilevel"/>
    <w:tmpl w:val="A7504B2A"/>
    <w:lvl w:ilvl="0" w:tplc="5456D9E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nsid w:val="476D6471"/>
    <w:multiLevelType w:val="hybridMultilevel"/>
    <w:tmpl w:val="206E7B6A"/>
    <w:lvl w:ilvl="0" w:tplc="5456D9EC">
      <w:start w:val="1"/>
      <w:numFmt w:val="bullet"/>
      <w:lvlText w:val=""/>
      <w:lvlJc w:val="left"/>
      <w:pPr>
        <w:tabs>
          <w:tab w:val="num" w:pos="1080"/>
        </w:tabs>
        <w:ind w:left="1080" w:hanging="360"/>
      </w:pPr>
      <w:rPr>
        <w:rFonts w:ascii="Symbol" w:hAnsi="Symbol"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48BE74A4"/>
    <w:multiLevelType w:val="hybridMultilevel"/>
    <w:tmpl w:val="35F8BB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B280354"/>
    <w:multiLevelType w:val="hybridMultilevel"/>
    <w:tmpl w:val="AE406E10"/>
    <w:lvl w:ilvl="0" w:tplc="5456D9E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4E090452"/>
    <w:multiLevelType w:val="hybridMultilevel"/>
    <w:tmpl w:val="CFD25C9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504E7E7A"/>
    <w:multiLevelType w:val="hybridMultilevel"/>
    <w:tmpl w:val="EB8E649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5B5356D4"/>
    <w:multiLevelType w:val="hybridMultilevel"/>
    <w:tmpl w:val="BCCA02A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5C114AD0"/>
    <w:multiLevelType w:val="hybridMultilevel"/>
    <w:tmpl w:val="A870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1C780B"/>
    <w:multiLevelType w:val="hybridMultilevel"/>
    <w:tmpl w:val="1E3E77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C2076CA"/>
    <w:multiLevelType w:val="hybridMultilevel"/>
    <w:tmpl w:val="DDCA3FAC"/>
    <w:lvl w:ilvl="0" w:tplc="5456D9E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5D3E6B67"/>
    <w:multiLevelType w:val="hybridMultilevel"/>
    <w:tmpl w:val="24A2BD22"/>
    <w:lvl w:ilvl="0" w:tplc="5456D9E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3">
    <w:nsid w:val="5E3D20EB"/>
    <w:multiLevelType w:val="hybridMultilevel"/>
    <w:tmpl w:val="1F929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ED27645"/>
    <w:multiLevelType w:val="hybridMultilevel"/>
    <w:tmpl w:val="E514CC6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6C8628DE"/>
    <w:multiLevelType w:val="hybridMultilevel"/>
    <w:tmpl w:val="2618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974A97"/>
    <w:multiLevelType w:val="hybridMultilevel"/>
    <w:tmpl w:val="5184AE68"/>
    <w:lvl w:ilvl="0" w:tplc="DFDEE8F2">
      <w:start w:val="1"/>
      <w:numFmt w:val="lowerLetter"/>
      <w:lvlText w:val="(%1)"/>
      <w:lvlJc w:val="left"/>
      <w:pPr>
        <w:tabs>
          <w:tab w:val="num" w:pos="5655"/>
        </w:tabs>
        <w:ind w:left="5655" w:hanging="3765"/>
      </w:pPr>
      <w:rPr>
        <w:rFonts w:cs="Times New Roman" w:hint="default"/>
      </w:rPr>
    </w:lvl>
    <w:lvl w:ilvl="1" w:tplc="04090019" w:tentative="1">
      <w:start w:val="1"/>
      <w:numFmt w:val="lowerLetter"/>
      <w:lvlText w:val="%2."/>
      <w:lvlJc w:val="left"/>
      <w:pPr>
        <w:tabs>
          <w:tab w:val="num" w:pos="2970"/>
        </w:tabs>
        <w:ind w:left="2970" w:hanging="360"/>
      </w:pPr>
      <w:rPr>
        <w:rFonts w:cs="Times New Roman"/>
      </w:rPr>
    </w:lvl>
    <w:lvl w:ilvl="2" w:tplc="0409001B" w:tentative="1">
      <w:start w:val="1"/>
      <w:numFmt w:val="lowerRoman"/>
      <w:lvlText w:val="%3."/>
      <w:lvlJc w:val="right"/>
      <w:pPr>
        <w:tabs>
          <w:tab w:val="num" w:pos="3690"/>
        </w:tabs>
        <w:ind w:left="3690" w:hanging="180"/>
      </w:pPr>
      <w:rPr>
        <w:rFonts w:cs="Times New Roman"/>
      </w:rPr>
    </w:lvl>
    <w:lvl w:ilvl="3" w:tplc="0409000F" w:tentative="1">
      <w:start w:val="1"/>
      <w:numFmt w:val="decimal"/>
      <w:lvlText w:val="%4."/>
      <w:lvlJc w:val="left"/>
      <w:pPr>
        <w:tabs>
          <w:tab w:val="num" w:pos="4410"/>
        </w:tabs>
        <w:ind w:left="4410" w:hanging="360"/>
      </w:pPr>
      <w:rPr>
        <w:rFonts w:cs="Times New Roman"/>
      </w:rPr>
    </w:lvl>
    <w:lvl w:ilvl="4" w:tplc="04090019" w:tentative="1">
      <w:start w:val="1"/>
      <w:numFmt w:val="lowerLetter"/>
      <w:lvlText w:val="%5."/>
      <w:lvlJc w:val="left"/>
      <w:pPr>
        <w:tabs>
          <w:tab w:val="num" w:pos="5130"/>
        </w:tabs>
        <w:ind w:left="5130" w:hanging="360"/>
      </w:pPr>
      <w:rPr>
        <w:rFonts w:cs="Times New Roman"/>
      </w:rPr>
    </w:lvl>
    <w:lvl w:ilvl="5" w:tplc="0409001B" w:tentative="1">
      <w:start w:val="1"/>
      <w:numFmt w:val="lowerRoman"/>
      <w:lvlText w:val="%6."/>
      <w:lvlJc w:val="right"/>
      <w:pPr>
        <w:tabs>
          <w:tab w:val="num" w:pos="5850"/>
        </w:tabs>
        <w:ind w:left="5850" w:hanging="180"/>
      </w:pPr>
      <w:rPr>
        <w:rFonts w:cs="Times New Roman"/>
      </w:rPr>
    </w:lvl>
    <w:lvl w:ilvl="6" w:tplc="0409000F" w:tentative="1">
      <w:start w:val="1"/>
      <w:numFmt w:val="decimal"/>
      <w:lvlText w:val="%7."/>
      <w:lvlJc w:val="left"/>
      <w:pPr>
        <w:tabs>
          <w:tab w:val="num" w:pos="6570"/>
        </w:tabs>
        <w:ind w:left="6570" w:hanging="360"/>
      </w:pPr>
      <w:rPr>
        <w:rFonts w:cs="Times New Roman"/>
      </w:rPr>
    </w:lvl>
    <w:lvl w:ilvl="7" w:tplc="04090019" w:tentative="1">
      <w:start w:val="1"/>
      <w:numFmt w:val="lowerLetter"/>
      <w:lvlText w:val="%8."/>
      <w:lvlJc w:val="left"/>
      <w:pPr>
        <w:tabs>
          <w:tab w:val="num" w:pos="7290"/>
        </w:tabs>
        <w:ind w:left="7290" w:hanging="360"/>
      </w:pPr>
      <w:rPr>
        <w:rFonts w:cs="Times New Roman"/>
      </w:rPr>
    </w:lvl>
    <w:lvl w:ilvl="8" w:tplc="0409001B" w:tentative="1">
      <w:start w:val="1"/>
      <w:numFmt w:val="lowerRoman"/>
      <w:lvlText w:val="%9."/>
      <w:lvlJc w:val="right"/>
      <w:pPr>
        <w:tabs>
          <w:tab w:val="num" w:pos="8010"/>
        </w:tabs>
        <w:ind w:left="8010" w:hanging="180"/>
      </w:pPr>
      <w:rPr>
        <w:rFonts w:cs="Times New Roman"/>
      </w:rPr>
    </w:lvl>
  </w:abstractNum>
  <w:abstractNum w:abstractNumId="37">
    <w:nsid w:val="742F78CC"/>
    <w:multiLevelType w:val="hybridMultilevel"/>
    <w:tmpl w:val="65D06D8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nsid w:val="79795A5E"/>
    <w:multiLevelType w:val="hybridMultilevel"/>
    <w:tmpl w:val="E514CC6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7B746FFC"/>
    <w:multiLevelType w:val="hybridMultilevel"/>
    <w:tmpl w:val="E514CC6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7CC03280"/>
    <w:multiLevelType w:val="hybridMultilevel"/>
    <w:tmpl w:val="EB8E649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1"/>
  </w:num>
  <w:num w:numId="2">
    <w:abstractNumId w:val="21"/>
  </w:num>
  <w:num w:numId="3">
    <w:abstractNumId w:val="15"/>
  </w:num>
  <w:num w:numId="4">
    <w:abstractNumId w:val="22"/>
  </w:num>
  <w:num w:numId="5">
    <w:abstractNumId w:val="2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31"/>
  </w:num>
  <w:num w:numId="17">
    <w:abstractNumId w:val="26"/>
  </w:num>
  <w:num w:numId="18">
    <w:abstractNumId w:val="23"/>
  </w:num>
  <w:num w:numId="19">
    <w:abstractNumId w:val="12"/>
  </w:num>
  <w:num w:numId="20">
    <w:abstractNumId w:val="37"/>
  </w:num>
  <w:num w:numId="21">
    <w:abstractNumId w:val="36"/>
  </w:num>
  <w:num w:numId="22">
    <w:abstractNumId w:val="24"/>
  </w:num>
  <w:num w:numId="23">
    <w:abstractNumId w:val="30"/>
  </w:num>
  <w:num w:numId="24">
    <w:abstractNumId w:val="14"/>
  </w:num>
  <w:num w:numId="25">
    <w:abstractNumId w:val="20"/>
  </w:num>
  <w:num w:numId="26">
    <w:abstractNumId w:val="19"/>
  </w:num>
  <w:num w:numId="27">
    <w:abstractNumId w:val="18"/>
  </w:num>
  <w:num w:numId="28">
    <w:abstractNumId w:val="32"/>
  </w:num>
  <w:num w:numId="29">
    <w:abstractNumId w:val="29"/>
  </w:num>
  <w:num w:numId="30">
    <w:abstractNumId w:val="17"/>
  </w:num>
  <w:num w:numId="31">
    <w:abstractNumId w:val="33"/>
  </w:num>
  <w:num w:numId="32">
    <w:abstractNumId w:val="10"/>
  </w:num>
  <w:num w:numId="33">
    <w:abstractNumId w:val="39"/>
  </w:num>
  <w:num w:numId="34">
    <w:abstractNumId w:val="27"/>
  </w:num>
  <w:num w:numId="35">
    <w:abstractNumId w:val="34"/>
  </w:num>
  <w:num w:numId="36">
    <w:abstractNumId w:val="38"/>
  </w:num>
  <w:num w:numId="37">
    <w:abstractNumId w:val="13"/>
  </w:num>
  <w:num w:numId="38">
    <w:abstractNumId w:val="40"/>
  </w:num>
  <w:num w:numId="39">
    <w:abstractNumId w:val="16"/>
  </w:num>
  <w:num w:numId="40">
    <w:abstractNumId w:val="35"/>
  </w:num>
  <w:num w:numId="4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F1D05"/>
    <w:rsid w:val="000008D9"/>
    <w:rsid w:val="00004FE9"/>
    <w:rsid w:val="000101BF"/>
    <w:rsid w:val="00010A51"/>
    <w:rsid w:val="000123F7"/>
    <w:rsid w:val="00023E47"/>
    <w:rsid w:val="00033608"/>
    <w:rsid w:val="000359FF"/>
    <w:rsid w:val="0004320B"/>
    <w:rsid w:val="0004328D"/>
    <w:rsid w:val="000443C3"/>
    <w:rsid w:val="00055B38"/>
    <w:rsid w:val="00060C48"/>
    <w:rsid w:val="000640D5"/>
    <w:rsid w:val="000653E5"/>
    <w:rsid w:val="00075AE0"/>
    <w:rsid w:val="00076FA2"/>
    <w:rsid w:val="00084324"/>
    <w:rsid w:val="00091783"/>
    <w:rsid w:val="00092989"/>
    <w:rsid w:val="000B141A"/>
    <w:rsid w:val="000B3F9D"/>
    <w:rsid w:val="000B3FF0"/>
    <w:rsid w:val="000B54A9"/>
    <w:rsid w:val="000B760E"/>
    <w:rsid w:val="000C3551"/>
    <w:rsid w:val="000D1088"/>
    <w:rsid w:val="000D31C7"/>
    <w:rsid w:val="000D31CD"/>
    <w:rsid w:val="000E2579"/>
    <w:rsid w:val="000E702B"/>
    <w:rsid w:val="000F7909"/>
    <w:rsid w:val="00103529"/>
    <w:rsid w:val="00105A27"/>
    <w:rsid w:val="001103BF"/>
    <w:rsid w:val="00110921"/>
    <w:rsid w:val="0011353E"/>
    <w:rsid w:val="00117C6D"/>
    <w:rsid w:val="00127BD1"/>
    <w:rsid w:val="00135F72"/>
    <w:rsid w:val="00137141"/>
    <w:rsid w:val="00147736"/>
    <w:rsid w:val="001565FF"/>
    <w:rsid w:val="00156780"/>
    <w:rsid w:val="001609A6"/>
    <w:rsid w:val="00163FC3"/>
    <w:rsid w:val="00173E02"/>
    <w:rsid w:val="00182D01"/>
    <w:rsid w:val="00191896"/>
    <w:rsid w:val="00193AF3"/>
    <w:rsid w:val="0019490F"/>
    <w:rsid w:val="00194919"/>
    <w:rsid w:val="00197B77"/>
    <w:rsid w:val="001A142D"/>
    <w:rsid w:val="001B5913"/>
    <w:rsid w:val="001C39C0"/>
    <w:rsid w:val="001C7FB1"/>
    <w:rsid w:val="001D15E6"/>
    <w:rsid w:val="001F15EB"/>
    <w:rsid w:val="00207A48"/>
    <w:rsid w:val="00207F1A"/>
    <w:rsid w:val="002134EC"/>
    <w:rsid w:val="00214230"/>
    <w:rsid w:val="00223C07"/>
    <w:rsid w:val="00230D3A"/>
    <w:rsid w:val="0026298A"/>
    <w:rsid w:val="002737A4"/>
    <w:rsid w:val="00280273"/>
    <w:rsid w:val="0028115C"/>
    <w:rsid w:val="00287ECB"/>
    <w:rsid w:val="00291DBF"/>
    <w:rsid w:val="002A62E8"/>
    <w:rsid w:val="002B1260"/>
    <w:rsid w:val="002B5FAA"/>
    <w:rsid w:val="002B6295"/>
    <w:rsid w:val="002C21F4"/>
    <w:rsid w:val="002E4C0F"/>
    <w:rsid w:val="002F4A4A"/>
    <w:rsid w:val="002F7D24"/>
    <w:rsid w:val="0030132D"/>
    <w:rsid w:val="0030138B"/>
    <w:rsid w:val="00303809"/>
    <w:rsid w:val="00303BCB"/>
    <w:rsid w:val="00305A46"/>
    <w:rsid w:val="00311B2C"/>
    <w:rsid w:val="0031686A"/>
    <w:rsid w:val="00316E56"/>
    <w:rsid w:val="0032095D"/>
    <w:rsid w:val="003319DA"/>
    <w:rsid w:val="00331F64"/>
    <w:rsid w:val="003405EA"/>
    <w:rsid w:val="00343F98"/>
    <w:rsid w:val="00347840"/>
    <w:rsid w:val="00360476"/>
    <w:rsid w:val="00371DEC"/>
    <w:rsid w:val="00374BFB"/>
    <w:rsid w:val="00381DF2"/>
    <w:rsid w:val="00383F94"/>
    <w:rsid w:val="003B7111"/>
    <w:rsid w:val="003C2FBC"/>
    <w:rsid w:val="003D54C6"/>
    <w:rsid w:val="003D75C0"/>
    <w:rsid w:val="003E0406"/>
    <w:rsid w:val="003E2CC5"/>
    <w:rsid w:val="003F05C1"/>
    <w:rsid w:val="003F1D05"/>
    <w:rsid w:val="003F2668"/>
    <w:rsid w:val="003F2F91"/>
    <w:rsid w:val="003F6E3A"/>
    <w:rsid w:val="00401000"/>
    <w:rsid w:val="0041452B"/>
    <w:rsid w:val="0042052F"/>
    <w:rsid w:val="00421B44"/>
    <w:rsid w:val="00423703"/>
    <w:rsid w:val="00425C0B"/>
    <w:rsid w:val="00426FC0"/>
    <w:rsid w:val="00435CAA"/>
    <w:rsid w:val="00456419"/>
    <w:rsid w:val="004605CF"/>
    <w:rsid w:val="00467DB8"/>
    <w:rsid w:val="004720F4"/>
    <w:rsid w:val="00475594"/>
    <w:rsid w:val="004808C5"/>
    <w:rsid w:val="0048103C"/>
    <w:rsid w:val="00483529"/>
    <w:rsid w:val="00484947"/>
    <w:rsid w:val="004904F9"/>
    <w:rsid w:val="0049541F"/>
    <w:rsid w:val="004967A6"/>
    <w:rsid w:val="004B3893"/>
    <w:rsid w:val="004B4435"/>
    <w:rsid w:val="004B4BF9"/>
    <w:rsid w:val="004B5024"/>
    <w:rsid w:val="004C7E68"/>
    <w:rsid w:val="004D0749"/>
    <w:rsid w:val="004D7EBC"/>
    <w:rsid w:val="004E127C"/>
    <w:rsid w:val="004E169C"/>
    <w:rsid w:val="00500EAA"/>
    <w:rsid w:val="00506995"/>
    <w:rsid w:val="00510FF2"/>
    <w:rsid w:val="0051190F"/>
    <w:rsid w:val="00530F28"/>
    <w:rsid w:val="005318F9"/>
    <w:rsid w:val="00532BB9"/>
    <w:rsid w:val="00534919"/>
    <w:rsid w:val="00542671"/>
    <w:rsid w:val="00542D60"/>
    <w:rsid w:val="00545D86"/>
    <w:rsid w:val="00545F27"/>
    <w:rsid w:val="00553F52"/>
    <w:rsid w:val="00556B68"/>
    <w:rsid w:val="00557157"/>
    <w:rsid w:val="00557F32"/>
    <w:rsid w:val="00563BDA"/>
    <w:rsid w:val="0056436E"/>
    <w:rsid w:val="00564AA1"/>
    <w:rsid w:val="00576E42"/>
    <w:rsid w:val="0058042F"/>
    <w:rsid w:val="00587079"/>
    <w:rsid w:val="005A00E2"/>
    <w:rsid w:val="005A0D74"/>
    <w:rsid w:val="005A5DFF"/>
    <w:rsid w:val="005C09A7"/>
    <w:rsid w:val="005D62E2"/>
    <w:rsid w:val="005E1E12"/>
    <w:rsid w:val="005E23E8"/>
    <w:rsid w:val="005F08D5"/>
    <w:rsid w:val="00603CF5"/>
    <w:rsid w:val="00605ADE"/>
    <w:rsid w:val="00611ED7"/>
    <w:rsid w:val="00615B17"/>
    <w:rsid w:val="006233DB"/>
    <w:rsid w:val="00623CFE"/>
    <w:rsid w:val="00624BF1"/>
    <w:rsid w:val="0063349C"/>
    <w:rsid w:val="00634137"/>
    <w:rsid w:val="006379EE"/>
    <w:rsid w:val="006412A5"/>
    <w:rsid w:val="00660147"/>
    <w:rsid w:val="00667E44"/>
    <w:rsid w:val="006702DA"/>
    <w:rsid w:val="00676F7D"/>
    <w:rsid w:val="0067796C"/>
    <w:rsid w:val="006829DF"/>
    <w:rsid w:val="006A1A65"/>
    <w:rsid w:val="006A2D33"/>
    <w:rsid w:val="006A5D43"/>
    <w:rsid w:val="006C133D"/>
    <w:rsid w:val="006C59EC"/>
    <w:rsid w:val="006D5AE5"/>
    <w:rsid w:val="006E1523"/>
    <w:rsid w:val="006E74E9"/>
    <w:rsid w:val="0070654C"/>
    <w:rsid w:val="00716B5D"/>
    <w:rsid w:val="007258C7"/>
    <w:rsid w:val="0073344D"/>
    <w:rsid w:val="00742901"/>
    <w:rsid w:val="007521A0"/>
    <w:rsid w:val="00761C16"/>
    <w:rsid w:val="00762171"/>
    <w:rsid w:val="00764000"/>
    <w:rsid w:val="007657BE"/>
    <w:rsid w:val="007678B5"/>
    <w:rsid w:val="00784C67"/>
    <w:rsid w:val="00784E72"/>
    <w:rsid w:val="007A3D2C"/>
    <w:rsid w:val="007B7171"/>
    <w:rsid w:val="007C0FD5"/>
    <w:rsid w:val="007C293A"/>
    <w:rsid w:val="007C5DB1"/>
    <w:rsid w:val="007D1A82"/>
    <w:rsid w:val="007D4695"/>
    <w:rsid w:val="007D52E1"/>
    <w:rsid w:val="007D59F1"/>
    <w:rsid w:val="007D70A7"/>
    <w:rsid w:val="007E6B9F"/>
    <w:rsid w:val="007F7F60"/>
    <w:rsid w:val="00800371"/>
    <w:rsid w:val="00815145"/>
    <w:rsid w:val="00815E11"/>
    <w:rsid w:val="008357C4"/>
    <w:rsid w:val="00851DBC"/>
    <w:rsid w:val="00853B55"/>
    <w:rsid w:val="00860C07"/>
    <w:rsid w:val="00867B75"/>
    <w:rsid w:val="0087411E"/>
    <w:rsid w:val="00883A3B"/>
    <w:rsid w:val="008943BF"/>
    <w:rsid w:val="00896EE1"/>
    <w:rsid w:val="008A1666"/>
    <w:rsid w:val="008A763F"/>
    <w:rsid w:val="008B01A7"/>
    <w:rsid w:val="008B0A73"/>
    <w:rsid w:val="008C17FC"/>
    <w:rsid w:val="008D2EB3"/>
    <w:rsid w:val="008D6D55"/>
    <w:rsid w:val="008D7385"/>
    <w:rsid w:val="008E2429"/>
    <w:rsid w:val="008E3572"/>
    <w:rsid w:val="008E5281"/>
    <w:rsid w:val="008E711C"/>
    <w:rsid w:val="008F2F82"/>
    <w:rsid w:val="008F3276"/>
    <w:rsid w:val="00901486"/>
    <w:rsid w:val="00903BE7"/>
    <w:rsid w:val="00917DB8"/>
    <w:rsid w:val="009224F5"/>
    <w:rsid w:val="00930289"/>
    <w:rsid w:val="00933978"/>
    <w:rsid w:val="00941DC7"/>
    <w:rsid w:val="009430B8"/>
    <w:rsid w:val="00946F63"/>
    <w:rsid w:val="00950C46"/>
    <w:rsid w:val="009547DD"/>
    <w:rsid w:val="00955B30"/>
    <w:rsid w:val="009566A9"/>
    <w:rsid w:val="00957014"/>
    <w:rsid w:val="0097568F"/>
    <w:rsid w:val="00981E91"/>
    <w:rsid w:val="00991497"/>
    <w:rsid w:val="009950E2"/>
    <w:rsid w:val="00996470"/>
    <w:rsid w:val="009A1A6D"/>
    <w:rsid w:val="009A5B97"/>
    <w:rsid w:val="009C336F"/>
    <w:rsid w:val="009C3737"/>
    <w:rsid w:val="009C415C"/>
    <w:rsid w:val="009C5230"/>
    <w:rsid w:val="009C7C5D"/>
    <w:rsid w:val="009D72FD"/>
    <w:rsid w:val="009E1BC5"/>
    <w:rsid w:val="009E5BA3"/>
    <w:rsid w:val="009F50B6"/>
    <w:rsid w:val="00A20091"/>
    <w:rsid w:val="00A20229"/>
    <w:rsid w:val="00A32C68"/>
    <w:rsid w:val="00A44778"/>
    <w:rsid w:val="00A44DD1"/>
    <w:rsid w:val="00A462DF"/>
    <w:rsid w:val="00A50942"/>
    <w:rsid w:val="00A51728"/>
    <w:rsid w:val="00A51E15"/>
    <w:rsid w:val="00A63EF8"/>
    <w:rsid w:val="00A64CE7"/>
    <w:rsid w:val="00A724FA"/>
    <w:rsid w:val="00AA0126"/>
    <w:rsid w:val="00AA70A1"/>
    <w:rsid w:val="00AB093E"/>
    <w:rsid w:val="00AB56BB"/>
    <w:rsid w:val="00AC2AC2"/>
    <w:rsid w:val="00AC3FA5"/>
    <w:rsid w:val="00AD13DA"/>
    <w:rsid w:val="00AD2FF5"/>
    <w:rsid w:val="00AD56ED"/>
    <w:rsid w:val="00AE22BE"/>
    <w:rsid w:val="00AE395B"/>
    <w:rsid w:val="00AF028C"/>
    <w:rsid w:val="00AF1434"/>
    <w:rsid w:val="00AF3048"/>
    <w:rsid w:val="00B064E0"/>
    <w:rsid w:val="00B076E4"/>
    <w:rsid w:val="00B234A0"/>
    <w:rsid w:val="00B239CB"/>
    <w:rsid w:val="00B23A75"/>
    <w:rsid w:val="00B34D0E"/>
    <w:rsid w:val="00B422E1"/>
    <w:rsid w:val="00B54E50"/>
    <w:rsid w:val="00B6126C"/>
    <w:rsid w:val="00B6337A"/>
    <w:rsid w:val="00B7576B"/>
    <w:rsid w:val="00B962CC"/>
    <w:rsid w:val="00B9641C"/>
    <w:rsid w:val="00B965D0"/>
    <w:rsid w:val="00BB79C3"/>
    <w:rsid w:val="00BC0F23"/>
    <w:rsid w:val="00BC5988"/>
    <w:rsid w:val="00BC6772"/>
    <w:rsid w:val="00BD7F00"/>
    <w:rsid w:val="00BE7BE0"/>
    <w:rsid w:val="00BF6A1C"/>
    <w:rsid w:val="00C035F2"/>
    <w:rsid w:val="00C24773"/>
    <w:rsid w:val="00C33FF4"/>
    <w:rsid w:val="00C44319"/>
    <w:rsid w:val="00C4482D"/>
    <w:rsid w:val="00C5145E"/>
    <w:rsid w:val="00C6098B"/>
    <w:rsid w:val="00C7347B"/>
    <w:rsid w:val="00C8217C"/>
    <w:rsid w:val="00C830B4"/>
    <w:rsid w:val="00CA01BD"/>
    <w:rsid w:val="00CA61F4"/>
    <w:rsid w:val="00CA654A"/>
    <w:rsid w:val="00CB23C2"/>
    <w:rsid w:val="00CB515A"/>
    <w:rsid w:val="00CB7850"/>
    <w:rsid w:val="00CD06BC"/>
    <w:rsid w:val="00D018C0"/>
    <w:rsid w:val="00D078E1"/>
    <w:rsid w:val="00D12F3C"/>
    <w:rsid w:val="00D20BCD"/>
    <w:rsid w:val="00D27203"/>
    <w:rsid w:val="00D3338F"/>
    <w:rsid w:val="00D34D7B"/>
    <w:rsid w:val="00D42863"/>
    <w:rsid w:val="00D441FD"/>
    <w:rsid w:val="00D47390"/>
    <w:rsid w:val="00D55B26"/>
    <w:rsid w:val="00D60F25"/>
    <w:rsid w:val="00D75409"/>
    <w:rsid w:val="00D75A8B"/>
    <w:rsid w:val="00D8042F"/>
    <w:rsid w:val="00D80FE3"/>
    <w:rsid w:val="00D9222F"/>
    <w:rsid w:val="00DA1A93"/>
    <w:rsid w:val="00DB30C5"/>
    <w:rsid w:val="00DD3E76"/>
    <w:rsid w:val="00DF2EF1"/>
    <w:rsid w:val="00DF3563"/>
    <w:rsid w:val="00E14CF0"/>
    <w:rsid w:val="00E15C7D"/>
    <w:rsid w:val="00E23D46"/>
    <w:rsid w:val="00E3211F"/>
    <w:rsid w:val="00E37021"/>
    <w:rsid w:val="00E37457"/>
    <w:rsid w:val="00E37C13"/>
    <w:rsid w:val="00E436FC"/>
    <w:rsid w:val="00E53907"/>
    <w:rsid w:val="00E57E8A"/>
    <w:rsid w:val="00E719BF"/>
    <w:rsid w:val="00E71FC5"/>
    <w:rsid w:val="00E830BB"/>
    <w:rsid w:val="00E846BB"/>
    <w:rsid w:val="00E928C6"/>
    <w:rsid w:val="00E93951"/>
    <w:rsid w:val="00E9590B"/>
    <w:rsid w:val="00EA0DD3"/>
    <w:rsid w:val="00EA0E00"/>
    <w:rsid w:val="00EA666C"/>
    <w:rsid w:val="00EB37BB"/>
    <w:rsid w:val="00EC6BEA"/>
    <w:rsid w:val="00EC7BA0"/>
    <w:rsid w:val="00EE45ED"/>
    <w:rsid w:val="00EE5032"/>
    <w:rsid w:val="00EF7BF1"/>
    <w:rsid w:val="00F000AD"/>
    <w:rsid w:val="00F0541D"/>
    <w:rsid w:val="00F068BB"/>
    <w:rsid w:val="00F10AF4"/>
    <w:rsid w:val="00F14EA9"/>
    <w:rsid w:val="00F15386"/>
    <w:rsid w:val="00F201E4"/>
    <w:rsid w:val="00F25548"/>
    <w:rsid w:val="00F26512"/>
    <w:rsid w:val="00F26E11"/>
    <w:rsid w:val="00F33BB5"/>
    <w:rsid w:val="00F35C9C"/>
    <w:rsid w:val="00F46DF6"/>
    <w:rsid w:val="00F53592"/>
    <w:rsid w:val="00F56881"/>
    <w:rsid w:val="00F75C88"/>
    <w:rsid w:val="00F807FF"/>
    <w:rsid w:val="00F8481A"/>
    <w:rsid w:val="00F9593B"/>
    <w:rsid w:val="00FA0EEB"/>
    <w:rsid w:val="00FC0812"/>
    <w:rsid w:val="00FC55D6"/>
    <w:rsid w:val="00FC72BF"/>
    <w:rsid w:val="00FD1289"/>
    <w:rsid w:val="00FD38E7"/>
    <w:rsid w:val="00FE0098"/>
    <w:rsid w:val="00FE62F2"/>
    <w:rsid w:val="00FF20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E1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F1D05"/>
    <w:rPr>
      <w:rFonts w:cs="Times New Roman"/>
      <w:color w:val="0000FF"/>
      <w:u w:val="single"/>
    </w:rPr>
  </w:style>
  <w:style w:type="paragraph" w:styleId="Header">
    <w:name w:val="header"/>
    <w:basedOn w:val="Normal"/>
    <w:link w:val="HeaderChar"/>
    <w:uiPriority w:val="99"/>
    <w:semiHidden/>
    <w:rsid w:val="00127B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127BD1"/>
    <w:rPr>
      <w:rFonts w:cs="Times New Roman"/>
    </w:rPr>
  </w:style>
  <w:style w:type="paragraph" w:styleId="Footer">
    <w:name w:val="footer"/>
    <w:basedOn w:val="Normal"/>
    <w:link w:val="FooterChar"/>
    <w:uiPriority w:val="99"/>
    <w:rsid w:val="00127BD1"/>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127BD1"/>
    <w:rPr>
      <w:rFonts w:cs="Times New Roman"/>
    </w:rPr>
  </w:style>
  <w:style w:type="paragraph" w:styleId="BalloonText">
    <w:name w:val="Balloon Text"/>
    <w:basedOn w:val="Normal"/>
    <w:link w:val="BalloonTextChar"/>
    <w:uiPriority w:val="99"/>
    <w:semiHidden/>
    <w:rsid w:val="00127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27BD1"/>
    <w:rPr>
      <w:rFonts w:ascii="Tahoma" w:hAnsi="Tahoma" w:cs="Tahoma"/>
      <w:sz w:val="16"/>
      <w:szCs w:val="16"/>
    </w:rPr>
  </w:style>
  <w:style w:type="paragraph" w:styleId="NoSpacing">
    <w:name w:val="No Spacing"/>
    <w:uiPriority w:val="99"/>
    <w:qFormat/>
    <w:rsid w:val="00467DB8"/>
    <w:rPr>
      <w:rFonts w:eastAsia="Times New Roman"/>
      <w:sz w:val="24"/>
      <w:szCs w:val="20"/>
    </w:rPr>
  </w:style>
  <w:style w:type="paragraph" w:styleId="BodyText">
    <w:name w:val="Body Text"/>
    <w:basedOn w:val="Normal"/>
    <w:link w:val="BodyTextChar1"/>
    <w:uiPriority w:val="99"/>
    <w:semiHidden/>
    <w:rsid w:val="00467DB8"/>
    <w:pPr>
      <w:spacing w:after="0" w:line="240" w:lineRule="auto"/>
      <w:jc w:val="both"/>
    </w:pPr>
    <w:rPr>
      <w:rFonts w:ascii="Times New Roman" w:hAnsi="Times New Roman"/>
      <w:sz w:val="24"/>
      <w:szCs w:val="24"/>
    </w:rPr>
  </w:style>
  <w:style w:type="character" w:customStyle="1" w:styleId="BodyTextChar">
    <w:name w:val="Body Text Char"/>
    <w:basedOn w:val="DefaultParagraphFont"/>
    <w:link w:val="BodyText"/>
    <w:uiPriority w:val="99"/>
    <w:semiHidden/>
    <w:locked/>
    <w:rsid w:val="00BE7BE0"/>
    <w:rPr>
      <w:rFonts w:cs="Times New Roman"/>
    </w:rPr>
  </w:style>
  <w:style w:type="character" w:customStyle="1" w:styleId="BodyTextChar1">
    <w:name w:val="Body Text Char1"/>
    <w:basedOn w:val="DefaultParagraphFont"/>
    <w:link w:val="BodyText"/>
    <w:uiPriority w:val="99"/>
    <w:semiHidden/>
    <w:locked/>
    <w:rsid w:val="00467DB8"/>
    <w:rPr>
      <w:rFonts w:cs="Times New Roman"/>
      <w:sz w:val="24"/>
      <w:szCs w:val="24"/>
      <w:lang w:val="en-US" w:eastAsia="en-US" w:bidi="ar-SA"/>
    </w:rPr>
  </w:style>
  <w:style w:type="paragraph" w:styleId="Caption">
    <w:name w:val="caption"/>
    <w:basedOn w:val="Normal"/>
    <w:next w:val="Normal"/>
    <w:uiPriority w:val="99"/>
    <w:qFormat/>
    <w:locked/>
    <w:rsid w:val="00933978"/>
    <w:pPr>
      <w:spacing w:after="0" w:line="240" w:lineRule="auto"/>
    </w:pPr>
    <w:rPr>
      <w:rFonts w:ascii="Times New Roman" w:hAnsi="Times New Roman"/>
      <w:b/>
      <w:bCs/>
      <w:sz w:val="20"/>
      <w:szCs w:val="20"/>
    </w:rPr>
  </w:style>
  <w:style w:type="paragraph" w:customStyle="1" w:styleId="msolistparagraph0">
    <w:name w:val="msolistparagraph"/>
    <w:basedOn w:val="Normal"/>
    <w:uiPriority w:val="99"/>
    <w:rsid w:val="00933978"/>
    <w:pPr>
      <w:spacing w:before="100" w:beforeAutospacing="1" w:after="100" w:afterAutospacing="1" w:line="240" w:lineRule="auto"/>
    </w:pPr>
    <w:rPr>
      <w:rFonts w:ascii="Times New Roman" w:hAnsi="Times New Roman"/>
      <w:sz w:val="24"/>
      <w:szCs w:val="24"/>
    </w:rPr>
  </w:style>
  <w:style w:type="character" w:customStyle="1" w:styleId="CharChar">
    <w:name w:val="Char Char"/>
    <w:basedOn w:val="DefaultParagraphFont"/>
    <w:uiPriority w:val="99"/>
    <w:semiHidden/>
    <w:rsid w:val="00D47390"/>
    <w:rPr>
      <w:rFonts w:ascii="Times New Roman" w:hAnsi="Times New Roman" w:cs="Times New Roman"/>
      <w:sz w:val="24"/>
      <w:szCs w:val="24"/>
    </w:rPr>
  </w:style>
  <w:style w:type="paragraph" w:customStyle="1" w:styleId="FigureCaption">
    <w:name w:val="Figure_Caption"/>
    <w:basedOn w:val="Normal"/>
    <w:link w:val="FigureCaptionChar"/>
    <w:autoRedefine/>
    <w:uiPriority w:val="99"/>
    <w:rsid w:val="00BF6A1C"/>
    <w:pPr>
      <w:framePr w:w="5161" w:h="4679" w:hRule="exact" w:hSpace="180" w:wrap="around" w:vAnchor="text" w:hAnchor="page" w:x="1441" w:y="1141"/>
      <w:shd w:val="solid" w:color="FFFFFF" w:fill="FFFFFF"/>
      <w:suppressAutoHyphens/>
      <w:spacing w:before="120" w:after="0" w:line="240" w:lineRule="auto"/>
      <w:jc w:val="center"/>
    </w:pPr>
    <w:rPr>
      <w:rFonts w:ascii="Georgia" w:hAnsi="Georgia"/>
      <w:i/>
      <w:sz w:val="24"/>
      <w:szCs w:val="24"/>
    </w:rPr>
  </w:style>
  <w:style w:type="character" w:customStyle="1" w:styleId="FigureCaptionChar">
    <w:name w:val="Figure_Caption Char"/>
    <w:basedOn w:val="DefaultParagraphFont"/>
    <w:link w:val="FigureCaption"/>
    <w:uiPriority w:val="99"/>
    <w:locked/>
    <w:rsid w:val="00BF6A1C"/>
    <w:rPr>
      <w:rFonts w:ascii="Georgia" w:hAnsi="Georgia" w:cs="Times New Roman"/>
      <w:i/>
      <w:sz w:val="24"/>
      <w:szCs w:val="24"/>
      <w:lang w:val="en-US" w:eastAsia="en-US" w:bidi="ar-SA"/>
    </w:rPr>
  </w:style>
  <w:style w:type="paragraph" w:styleId="FootnoteText">
    <w:name w:val="footnote text"/>
    <w:basedOn w:val="Normal"/>
    <w:link w:val="FootnoteTextChar"/>
    <w:uiPriority w:val="99"/>
    <w:semiHidden/>
    <w:rsid w:val="0030132D"/>
    <w:rPr>
      <w:sz w:val="20"/>
      <w:szCs w:val="20"/>
    </w:rPr>
  </w:style>
  <w:style w:type="character" w:customStyle="1" w:styleId="FootnoteTextChar">
    <w:name w:val="Footnote Text Char"/>
    <w:basedOn w:val="DefaultParagraphFont"/>
    <w:link w:val="FootnoteText"/>
    <w:uiPriority w:val="99"/>
    <w:semiHidden/>
    <w:locked/>
    <w:rsid w:val="00F26512"/>
    <w:rPr>
      <w:rFonts w:cs="Times New Roman"/>
      <w:sz w:val="20"/>
      <w:szCs w:val="20"/>
    </w:rPr>
  </w:style>
  <w:style w:type="character" w:styleId="FootnoteReference">
    <w:name w:val="footnote reference"/>
    <w:basedOn w:val="DefaultParagraphFont"/>
    <w:uiPriority w:val="99"/>
    <w:semiHidden/>
    <w:rsid w:val="0030132D"/>
    <w:rPr>
      <w:rFonts w:cs="Times New Roman"/>
      <w:vertAlign w:val="superscript"/>
    </w:rPr>
  </w:style>
  <w:style w:type="table" w:styleId="TableGrid">
    <w:name w:val="Table Grid"/>
    <w:basedOn w:val="TableNormal"/>
    <w:uiPriority w:val="99"/>
    <w:locked/>
    <w:rsid w:val="005C09A7"/>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72883455">
      <w:marLeft w:val="0"/>
      <w:marRight w:val="0"/>
      <w:marTop w:val="0"/>
      <w:marBottom w:val="0"/>
      <w:divBdr>
        <w:top w:val="none" w:sz="0" w:space="0" w:color="auto"/>
        <w:left w:val="none" w:sz="0" w:space="0" w:color="auto"/>
        <w:bottom w:val="none" w:sz="0" w:space="0" w:color="auto"/>
        <w:right w:val="none" w:sz="0" w:space="0" w:color="auto"/>
      </w:divBdr>
    </w:div>
    <w:div w:id="872883456">
      <w:marLeft w:val="0"/>
      <w:marRight w:val="0"/>
      <w:marTop w:val="0"/>
      <w:marBottom w:val="0"/>
      <w:divBdr>
        <w:top w:val="none" w:sz="0" w:space="0" w:color="auto"/>
        <w:left w:val="none" w:sz="0" w:space="0" w:color="auto"/>
        <w:bottom w:val="none" w:sz="0" w:space="0" w:color="auto"/>
        <w:right w:val="none" w:sz="0" w:space="0" w:color="auto"/>
      </w:divBdr>
    </w:div>
    <w:div w:id="872883457">
      <w:marLeft w:val="0"/>
      <w:marRight w:val="0"/>
      <w:marTop w:val="0"/>
      <w:marBottom w:val="0"/>
      <w:divBdr>
        <w:top w:val="none" w:sz="0" w:space="0" w:color="auto"/>
        <w:left w:val="none" w:sz="0" w:space="0" w:color="auto"/>
        <w:bottom w:val="none" w:sz="0" w:space="0" w:color="auto"/>
        <w:right w:val="none" w:sz="0" w:space="0" w:color="auto"/>
      </w:divBdr>
    </w:div>
    <w:div w:id="872883458">
      <w:marLeft w:val="0"/>
      <w:marRight w:val="0"/>
      <w:marTop w:val="0"/>
      <w:marBottom w:val="0"/>
      <w:divBdr>
        <w:top w:val="none" w:sz="0" w:space="0" w:color="auto"/>
        <w:left w:val="none" w:sz="0" w:space="0" w:color="auto"/>
        <w:bottom w:val="none" w:sz="0" w:space="0" w:color="auto"/>
        <w:right w:val="none" w:sz="0" w:space="0" w:color="auto"/>
      </w:divBdr>
    </w:div>
    <w:div w:id="872883459">
      <w:marLeft w:val="0"/>
      <w:marRight w:val="0"/>
      <w:marTop w:val="0"/>
      <w:marBottom w:val="0"/>
      <w:divBdr>
        <w:top w:val="none" w:sz="0" w:space="0" w:color="auto"/>
        <w:left w:val="none" w:sz="0" w:space="0" w:color="auto"/>
        <w:bottom w:val="none" w:sz="0" w:space="0" w:color="auto"/>
        <w:right w:val="none" w:sz="0" w:space="0" w:color="auto"/>
      </w:divBdr>
    </w:div>
    <w:div w:id="872883460">
      <w:marLeft w:val="0"/>
      <w:marRight w:val="0"/>
      <w:marTop w:val="0"/>
      <w:marBottom w:val="0"/>
      <w:divBdr>
        <w:top w:val="none" w:sz="0" w:space="0" w:color="auto"/>
        <w:left w:val="none" w:sz="0" w:space="0" w:color="auto"/>
        <w:bottom w:val="none" w:sz="0" w:space="0" w:color="auto"/>
        <w:right w:val="none" w:sz="0" w:space="0" w:color="auto"/>
      </w:divBdr>
    </w:div>
    <w:div w:id="872883461">
      <w:marLeft w:val="0"/>
      <w:marRight w:val="0"/>
      <w:marTop w:val="0"/>
      <w:marBottom w:val="0"/>
      <w:divBdr>
        <w:top w:val="none" w:sz="0" w:space="0" w:color="auto"/>
        <w:left w:val="none" w:sz="0" w:space="0" w:color="auto"/>
        <w:bottom w:val="none" w:sz="0" w:space="0" w:color="auto"/>
        <w:right w:val="none" w:sz="0" w:space="0" w:color="auto"/>
      </w:divBdr>
    </w:div>
    <w:div w:id="872883462">
      <w:marLeft w:val="0"/>
      <w:marRight w:val="0"/>
      <w:marTop w:val="0"/>
      <w:marBottom w:val="0"/>
      <w:divBdr>
        <w:top w:val="none" w:sz="0" w:space="0" w:color="auto"/>
        <w:left w:val="none" w:sz="0" w:space="0" w:color="auto"/>
        <w:bottom w:val="none" w:sz="0" w:space="0" w:color="auto"/>
        <w:right w:val="none" w:sz="0" w:space="0" w:color="auto"/>
      </w:divBdr>
    </w:div>
    <w:div w:id="872883463">
      <w:marLeft w:val="0"/>
      <w:marRight w:val="0"/>
      <w:marTop w:val="0"/>
      <w:marBottom w:val="0"/>
      <w:divBdr>
        <w:top w:val="none" w:sz="0" w:space="0" w:color="auto"/>
        <w:left w:val="none" w:sz="0" w:space="0" w:color="auto"/>
        <w:bottom w:val="none" w:sz="0" w:space="0" w:color="auto"/>
        <w:right w:val="none" w:sz="0" w:space="0" w:color="auto"/>
      </w:divBdr>
    </w:div>
    <w:div w:id="872883464">
      <w:marLeft w:val="0"/>
      <w:marRight w:val="0"/>
      <w:marTop w:val="0"/>
      <w:marBottom w:val="0"/>
      <w:divBdr>
        <w:top w:val="none" w:sz="0" w:space="0" w:color="auto"/>
        <w:left w:val="none" w:sz="0" w:space="0" w:color="auto"/>
        <w:bottom w:val="none" w:sz="0" w:space="0" w:color="auto"/>
        <w:right w:val="none" w:sz="0" w:space="0" w:color="auto"/>
      </w:divBdr>
    </w:div>
    <w:div w:id="872883465">
      <w:marLeft w:val="0"/>
      <w:marRight w:val="0"/>
      <w:marTop w:val="0"/>
      <w:marBottom w:val="0"/>
      <w:divBdr>
        <w:top w:val="none" w:sz="0" w:space="0" w:color="auto"/>
        <w:left w:val="none" w:sz="0" w:space="0" w:color="auto"/>
        <w:bottom w:val="none" w:sz="0" w:space="0" w:color="auto"/>
        <w:right w:val="none" w:sz="0" w:space="0" w:color="auto"/>
      </w:divBdr>
    </w:div>
    <w:div w:id="872883466">
      <w:marLeft w:val="0"/>
      <w:marRight w:val="0"/>
      <w:marTop w:val="0"/>
      <w:marBottom w:val="0"/>
      <w:divBdr>
        <w:top w:val="none" w:sz="0" w:space="0" w:color="auto"/>
        <w:left w:val="none" w:sz="0" w:space="0" w:color="auto"/>
        <w:bottom w:val="none" w:sz="0" w:space="0" w:color="auto"/>
        <w:right w:val="none" w:sz="0" w:space="0" w:color="auto"/>
      </w:divBdr>
    </w:div>
    <w:div w:id="872883467">
      <w:marLeft w:val="0"/>
      <w:marRight w:val="0"/>
      <w:marTop w:val="0"/>
      <w:marBottom w:val="0"/>
      <w:divBdr>
        <w:top w:val="none" w:sz="0" w:space="0" w:color="auto"/>
        <w:left w:val="none" w:sz="0" w:space="0" w:color="auto"/>
        <w:bottom w:val="none" w:sz="0" w:space="0" w:color="auto"/>
        <w:right w:val="none" w:sz="0" w:space="0" w:color="auto"/>
      </w:divBdr>
    </w:div>
    <w:div w:id="872883468">
      <w:marLeft w:val="0"/>
      <w:marRight w:val="0"/>
      <w:marTop w:val="0"/>
      <w:marBottom w:val="0"/>
      <w:divBdr>
        <w:top w:val="none" w:sz="0" w:space="0" w:color="auto"/>
        <w:left w:val="none" w:sz="0" w:space="0" w:color="auto"/>
        <w:bottom w:val="none" w:sz="0" w:space="0" w:color="auto"/>
        <w:right w:val="none" w:sz="0" w:space="0" w:color="auto"/>
      </w:divBdr>
    </w:div>
    <w:div w:id="872883469">
      <w:marLeft w:val="0"/>
      <w:marRight w:val="0"/>
      <w:marTop w:val="0"/>
      <w:marBottom w:val="0"/>
      <w:divBdr>
        <w:top w:val="none" w:sz="0" w:space="0" w:color="auto"/>
        <w:left w:val="none" w:sz="0" w:space="0" w:color="auto"/>
        <w:bottom w:val="none" w:sz="0" w:space="0" w:color="auto"/>
        <w:right w:val="none" w:sz="0" w:space="0" w:color="auto"/>
      </w:divBdr>
    </w:div>
    <w:div w:id="872883470">
      <w:marLeft w:val="0"/>
      <w:marRight w:val="0"/>
      <w:marTop w:val="0"/>
      <w:marBottom w:val="0"/>
      <w:divBdr>
        <w:top w:val="none" w:sz="0" w:space="0" w:color="auto"/>
        <w:left w:val="none" w:sz="0" w:space="0" w:color="auto"/>
        <w:bottom w:val="none" w:sz="0" w:space="0" w:color="auto"/>
        <w:right w:val="none" w:sz="0" w:space="0" w:color="auto"/>
      </w:divBdr>
    </w:div>
    <w:div w:id="872883471">
      <w:marLeft w:val="0"/>
      <w:marRight w:val="0"/>
      <w:marTop w:val="0"/>
      <w:marBottom w:val="0"/>
      <w:divBdr>
        <w:top w:val="none" w:sz="0" w:space="0" w:color="auto"/>
        <w:left w:val="none" w:sz="0" w:space="0" w:color="auto"/>
        <w:bottom w:val="none" w:sz="0" w:space="0" w:color="auto"/>
        <w:right w:val="none" w:sz="0" w:space="0" w:color="auto"/>
      </w:divBdr>
    </w:div>
    <w:div w:id="87288347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 Quarterly Technical Performance and Impact Report</dc:title>
  <dc:creator>Jerome P. Lynch</dc:creator>
  <cp:lastModifiedBy>VRKamat</cp:lastModifiedBy>
  <cp:revision>2</cp:revision>
  <dcterms:created xsi:type="dcterms:W3CDTF">2011-07-25T01:05:00Z</dcterms:created>
  <dcterms:modified xsi:type="dcterms:W3CDTF">2011-07-25T01:05:00Z</dcterms:modified>
</cp:coreProperties>
</file>