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82–88%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Crucially, we validate key predictions on IBM Torino (133-qubit Heron processor), where the coupling effect yields a 95.7× signal ratio and spacetime tearing produces 83.4% correlation reduction—closely matching the simulator prediction of 87.2%.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IBM Torino, a 133-qubit Heron-generation superconducting quantum processor accessed via the Qiskit IBM Runtime service.</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results elevate our findings from computational predictions to experimental observations. A 95.7× coupling effect and 83.4% tearing reduction on a noisy quantum processor demonstrate that entanglement-geometry correspondence is physically robust, persisting under realistic conditions of decoherence, gate errors, and finite temperature.</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Our qubit chain model is one-dimensional; recovery of 3+1 dimensional spacetime geometry requires extension to at minimum two-dimensional lattice architectures, which is computationally feasible on current simulators and is planned as immediate follow-up work.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three system scales (8, 12, 16 qubits), with 82–88%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on IBM Torino quantum hardware (133 qubits), confirming a 95.7× coupling effect and 83.4% spacetime tearing signal on a physical quantum processor.</w:t>
      </w:r>
    </w:p>
    <w:p>
      <w:pPr>
        <w:spacing w:after="120" w:before="0" w:line="276"/>
        <w:ind w:firstLine="360"/>
        <w:jc w:val="both"/>
      </w:pPr>
      <w:r>
        <w:rPr>
          <w:rFonts w:ascii="Times New Roman" w:cs="Times New Roman" w:eastAsia="Times New Roman" w:hAnsi="Times New Roman"/>
          <w:sz w:val="24"/>
          <w:szCs w:val="24"/>
        </w:rPr>
        <w:t xml:space="preserve">Immediate extensions include execution on additional quantum backends for cross-platform verification, application of advanced error mitigation to recover the null hypothesis signal on hardware, and generalization to two-dimensional lattice geometries. Longer-term goals include recovery of 3+1 dimensional emergent spacetime,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processor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