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
        <w:jc w:val="center"/>
      </w:pPr>
      <w:r>
        <w:rPr>
          <w:rFonts w:ascii="Arial" w:cs="Arial" w:eastAsia="Arial" w:hAnsi="Arial"/>
          <w:b/>
          <w:bCs/>
          <w:sz w:val="34"/>
          <w:szCs w:val="34"/>
        </w:rPr>
        <w:t xml:space="preserve">Late-Time Dark Energy from a Canonical</w:t>
      </w:r>
    </w:p>
    <w:p>
      <w:pPr>
        <w:spacing w:after="120"/>
        <w:jc w:val="center"/>
      </w:pPr>
      <w:r>
        <w:rPr>
          <w:rFonts w:ascii="Arial" w:cs="Arial" w:eastAsia="Arial" w:hAnsi="Arial"/>
          <w:b/>
          <w:bCs/>
          <w:sz w:val="34"/>
          <w:szCs w:val="34"/>
        </w:rPr>
        <w:t xml:space="preserve">Completion-Deficit Scalar Field</w:t>
      </w:r>
    </w:p>
    <w:p>
      <w:pPr>
        <w:spacing w:after="240"/>
        <w:jc w:val="center"/>
      </w:pPr>
      <w:r>
        <w:rPr>
          <w:rFonts w:ascii="Arial" w:cs="Arial" w:eastAsia="Arial" w:hAnsi="Arial"/>
          <w:i/>
          <w:iCs/>
          <w:color w:val="475569"/>
          <w:sz w:val="22"/>
          <w:szCs w:val="22"/>
        </w:rPr>
        <w:t xml:space="preserve">A Starobinsky-shaped potential with fixed functional form</w:t>
      </w:r>
    </w:p>
    <w:p>
      <w:pPr>
        <w:spacing w:after="40"/>
        <w:jc w:val="center"/>
      </w:pPr>
      <w:r>
        <w:rPr>
          <w:rFonts w:ascii="Arial" w:cs="Arial" w:eastAsia="Arial" w:hAnsi="Arial"/>
          <w:sz w:val="24"/>
          <w:szCs w:val="24"/>
        </w:rPr>
        <w:t xml:space="preserve">Andrew Thurlow</w:t>
      </w:r>
    </w:p>
    <w:p>
      <w:pPr>
        <w:spacing w:after="40"/>
        <w:jc w:val="center"/>
      </w:pPr>
      <w:r>
        <w:rPr>
          <w:rFonts w:ascii="Arial" w:cs="Arial" w:eastAsia="Arial" w:hAnsi="Arial"/>
          <w:color w:val="64748B"/>
          <w:sz w:val="20"/>
          <w:szCs w:val="20"/>
        </w:rPr>
        <w:t xml:space="preserve">528 Labs  —  Independent Research</w:t>
      </w:r>
    </w:p>
    <w:p>
      <w:pPr>
        <w:spacing w:after="300"/>
        <w:jc w:val="center"/>
      </w:pPr>
      <w:r>
        <w:rPr>
          <w:rFonts w:ascii="Arial" w:cs="Arial" w:eastAsia="Arial" w:hAnsi="Arial"/>
          <w:i/>
          <w:iCs/>
          <w:color w:val="64748B"/>
          <w:sz w:val="20"/>
          <w:szCs w:val="20"/>
        </w:rPr>
        <w:t xml:space="preserve">April 2026  —  Working Paper v1.0</w:t>
      </w:r>
    </w:p>
    <w:p>
      <w:pPr>
        <w:spacing w:after="120"/>
        <w:jc w:val="center"/>
      </w:pPr>
      <w:r>
        <w:rPr>
          <w:rFonts w:ascii="Arial" w:cs="Arial" w:eastAsia="Arial" w:hAnsi="Arial"/>
          <w:b/>
          <w:bCs/>
          <w:sz w:val="22"/>
          <w:szCs w:val="22"/>
        </w:rPr>
        <w:t xml:space="preserve">Abstract</w:t>
      </w:r>
    </w:p>
    <w:p>
      <w:pPr>
        <w:spacing w:after="120"/>
        <w:jc w:val="both"/>
      </w:pPr>
      <w:r>
        <w:rPr>
          <w:rFonts w:ascii="Times New Roman" w:cs="Times New Roman" w:eastAsia="Times New Roman" w:hAnsi="Times New Roman"/>
          <w:sz w:val="24"/>
          <w:szCs w:val="24"/>
        </w:rPr>
        <w:t xml:space="preserve">We study a minimal dark energy model consisting of general relativity plus a single canonical scalar field N with a Starobinsky-shaped potential V(N) = V₀(1 – e</w:t>
      </w:r>
      <w:r>
        <w:rPr>
          <w:rFonts w:ascii="Courier New" w:cs="Courier New" w:eastAsia="Courier New" w:hAnsi="Courier New"/>
          <w:sz w:val="22"/>
          <w:szCs w:val="22"/>
        </w:rPr>
        <w:t xml:space="preserve">^{–√(2/3)N}</w:t>
      </w:r>
      <w:r>
        <w:rPr>
          <w:rFonts w:ascii="Times New Roman" w:cs="Times New Roman" w:eastAsia="Times New Roman" w:hAnsi="Times New Roman"/>
          <w:sz w:val="24"/>
          <w:szCs w:val="24"/>
        </w:rPr>
        <w:t xml:space="preserve">)². The potential has a fixed functional form: the exponent coefficient √(2/3) is determined by the connection to R² gravity, and the only free parameter is the amplitude V₀, set by the observed dark energy density. The initial field value Nᵢ is an additional model parameter controlling the late-time branch selection. We run the model through the CLASS Einstein–Boltzmann solver and find that a moderate-plateau branch (Nᵢ ≈ 2.7) yields σ₈ = 0.789 in the present CLASS implementation, equal to the DES Y6 central value, while preserving near-standard CMB background observables (sound horizon rₛ = 147.1 Mpc, 100θₛ = 1.047). The model reduces the S₈ tension between Planck and weak lensing surveys from ~3.8σ to ~1.2σ in the present CLASS implementation. Structural predictions include w(z) ≥ –1 at all redshifts, zero gravitational slip, and scale-independent linear growth modification. The specific shape prediction p = 1.30 for the thawing coefficient is testable with DESI and Euclid within the current observational decade.</w:t>
      </w:r>
    </w:p>
    <w:p>
      <w:pPr>
        <w:spacing w:after="20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color w:val="64748B"/>
          <w:sz w:val="20"/>
          <w:szCs w:val="20"/>
        </w:rPr>
        <w:t xml:space="preserve">dark energy, scalar field, thawing quintessence, Starobinsky potential, completion deficit, CLASS, S₈ tension, gravitational slip, DESI, Euclid</w:t>
      </w:r>
    </w:p>
    <w:p>
      <w:r>
        <w:br w:type="page"/>
      </w:r>
    </w:p>
    <w:p>
      <w:pPr>
        <w:pStyle w:val="Heading1"/>
      </w:pPr>
      <w:r>
        <w:rPr>
          <w:rFonts w:ascii="Times New Roman" w:cs="Times New Roman" w:eastAsia="Times New Roman" w:hAnsi="Times New Roman"/>
          <w:b/>
          <w:bCs/>
          <w:sz w:val="28"/>
          <w:szCs w:val="28"/>
        </w:rPr>
        <w:t xml:space="preserve">1.  Introduction</w:t>
      </w:r>
    </w:p>
    <w:p>
      <w:pPr>
        <w:spacing w:after="120" w:line="276"/>
      </w:pPr>
      <w:r>
        <w:rPr>
          <w:rFonts w:ascii="Times New Roman" w:cs="Times New Roman" w:eastAsia="Times New Roman" w:hAnsi="Times New Roman"/>
          <w:sz w:val="24"/>
          <w:szCs w:val="24"/>
        </w:rPr>
        <w:t xml:space="preserve">Recent measurements from the Dark Energy Spectroscopic Instrument (DESI DR2) show evidence at the 2–3σ level for dynamical dark energy with w₀ &gt; –1 [1, 2]. Simultaneously, the Dark Energy Survey Year 6 results report S₈ = 0.789 ± 0.012 [3], maintaining a 1.8σ tension with CMB primary anisotropy datasets. Earlier results from DES Y3 [4], KiDS-1000 [5], and HSC showed stronger tensions of 2–3σ. These observations suggest that a late-time dark energy sector with w(z) &gt; –1 may suppress structure growth relative to ΛCDM.</w:t>
      </w:r>
    </w:p>
    <w:p>
      <w:pPr>
        <w:spacing w:after="120" w:line="276"/>
      </w:pPr>
      <w:r>
        <w:rPr>
          <w:rFonts w:ascii="Times New Roman" w:cs="Times New Roman" w:eastAsia="Times New Roman" w:hAnsi="Times New Roman"/>
          <w:sz w:val="24"/>
          <w:szCs w:val="24"/>
        </w:rPr>
        <w:t xml:space="preserve">We study a specific realization: a single canonical scalar field N with a Starobinsky-shaped potential. The model has a distinctive feature: </w:t>
      </w:r>
      <w:r>
        <w:rPr>
          <w:rFonts w:ascii="Times New Roman" w:cs="Times New Roman" w:eastAsia="Times New Roman" w:hAnsi="Times New Roman"/>
          <w:b/>
          <w:bCs/>
          <w:sz w:val="24"/>
          <w:szCs w:val="24"/>
        </w:rPr>
        <w:t xml:space="preserve">the potential has a fixed functional form up to one amplitude scale</w:t>
      </w:r>
      <w:r>
        <w:rPr>
          <w:rFonts w:ascii="Times New Roman" w:cs="Times New Roman" w:eastAsia="Times New Roman" w:hAnsi="Times New Roman"/>
          <w:sz w:val="24"/>
          <w:szCs w:val="24"/>
        </w:rPr>
        <w:t xml:space="preserve">. The exponent coefficient √(2/3) is not fit to data; it is fixed by the mathematical connection to Starobinsky R² gravity [6]. This makes the model unusually constrained for a scalar field dark energy proposal. The field is interpreted as a completion deficit measuring residual Lorentzian structure, with N = 0 corresponding to the de Sitter vacuum. This interpretation motivates the potential shape but is not required for the observational predictions.</w:t>
      </w:r>
    </w:p>
    <w:p>
      <w:pPr>
        <w:spacing w:after="120" w:line="276"/>
      </w:pPr>
      <w:r>
        <w:rPr>
          <w:rFonts w:ascii="Times New Roman" w:cs="Times New Roman" w:eastAsia="Times New Roman" w:hAnsi="Times New Roman"/>
          <w:sz w:val="24"/>
          <w:szCs w:val="24"/>
        </w:rPr>
        <w:t xml:space="preserve">We present the first CLASS Einstein–Boltzmann solver results for this specific potential, scanning the initial field value Nᵢ and identifying a moderate-plateau branch that materially reduces the S₈ tension while preserving CMB-scale observables.</w:t>
      </w:r>
    </w:p>
    <w:p>
      <w:r>
        <w:br w:type="page"/>
      </w:r>
    </w:p>
    <w:p>
      <w:pPr>
        <w:pStyle w:val="Heading1"/>
      </w:pPr>
      <w:r>
        <w:rPr>
          <w:rFonts w:ascii="Times New Roman" w:cs="Times New Roman" w:eastAsia="Times New Roman" w:hAnsi="Times New Roman"/>
          <w:b/>
          <w:bCs/>
          <w:sz w:val="28"/>
          <w:szCs w:val="28"/>
        </w:rPr>
        <w:t xml:space="preserve">2.  The Model</w:t>
      </w:r>
    </w:p>
    <w:p>
      <w:pPr>
        <w:pStyle w:val="Heading2"/>
      </w:pPr>
      <w:r>
        <w:rPr>
          <w:rFonts w:ascii="Times New Roman" w:cs="Times New Roman" w:eastAsia="Times New Roman" w:hAnsi="Times New Roman"/>
          <w:b/>
          <w:bCs/>
          <w:sz w:val="26"/>
          <w:szCs w:val="26"/>
        </w:rPr>
        <w:t xml:space="preserve">2.1  Action and Potential</w:t>
      </w:r>
    </w:p>
    <w:p>
      <w:pPr>
        <w:spacing w:after="140" w:before="140"/>
        <w:jc w:val="center"/>
      </w:pPr>
      <w:r>
        <w:rPr>
          <w:rFonts w:ascii="Courier New" w:cs="Courier New" w:eastAsia="Courier New" w:hAnsi="Courier New"/>
          <w:sz w:val="22"/>
          <w:szCs w:val="22"/>
        </w:rPr>
        <w:t xml:space="preserve">S = ∫d⁴x √(–g) [ R/(16πG) – (½)g^{μν}∂_μN ∂_νN – V(N) ]</w:t>
      </w:r>
    </w:p>
    <w:p>
      <w:pPr>
        <w:spacing w:after="140" w:before="140"/>
        <w:jc w:val="center"/>
      </w:pPr>
      <w:r>
        <w:rPr>
          <w:rFonts w:ascii="Courier New" w:cs="Courier New" w:eastAsia="Courier New" w:hAnsi="Courier New"/>
          <w:sz w:val="22"/>
          <w:szCs w:val="22"/>
        </w:rPr>
        <w:t xml:space="preserve">V(N) = V₀ (1 – e^{–αN})²,    α = √(2/3) ≈ 0.8165</w:t>
      </w:r>
    </w:p>
    <w:p>
      <w:pPr>
        <w:spacing w:after="120" w:line="276"/>
      </w:pPr>
      <w:r>
        <w:rPr>
          <w:rFonts w:ascii="Times New Roman" w:cs="Times New Roman" w:eastAsia="Times New Roman" w:hAnsi="Times New Roman"/>
          <w:sz w:val="24"/>
          <w:szCs w:val="24"/>
        </w:rPr>
        <w:t xml:space="preserve">The coefficient α = √(2/3) is fixed by the identification of this potential with the scalar degree of freedom of Starobinsky R² gravity in the Einstein frame [6]. The amplitude V₀ is set by the requirement that the dark energy density matches observations. The initial field value Nᵢ is an additional model parameter controlling the late-time branch selection.</w:t>
      </w:r>
    </w:p>
    <w:p>
      <w:pPr>
        <w:pStyle w:val="Heading2"/>
      </w:pPr>
      <w:r>
        <w:rPr>
          <w:rFonts w:ascii="Times New Roman" w:cs="Times New Roman" w:eastAsia="Times New Roman" w:hAnsi="Times New Roman"/>
          <w:b/>
          <w:bCs/>
          <w:sz w:val="26"/>
          <w:szCs w:val="26"/>
        </w:rPr>
        <w:t xml:space="preserve">2.2  Field Equations</w:t>
      </w:r>
    </w:p>
    <w:p>
      <w:pPr>
        <w:spacing w:after="140" w:before="140"/>
        <w:jc w:val="center"/>
      </w:pPr>
      <w:r>
        <w:rPr>
          <w:rFonts w:ascii="Courier New" w:cs="Courier New" w:eastAsia="Courier New" w:hAnsi="Courier New"/>
          <w:sz w:val="22"/>
          <w:szCs w:val="22"/>
        </w:rPr>
        <w:t xml:space="preserve">N̈ + 3HṄ + V′(N) = 0,    V′(N) = 2V₀α e^{–αN}(1 – e^{–αN})</w:t>
      </w:r>
    </w:p>
    <w:p>
      <w:pPr>
        <w:spacing w:after="140" w:before="140"/>
        <w:jc w:val="center"/>
      </w:pPr>
      <w:r>
        <w:rPr>
          <w:rFonts w:ascii="Courier New" w:cs="Courier New" w:eastAsia="Courier New" w:hAnsi="Courier New"/>
          <w:sz w:val="22"/>
          <w:szCs w:val="22"/>
        </w:rPr>
        <w:t xml:space="preserve">H² = (8πG/3)(ρ_m + ρ_r + ρ_N),    ρ_N = (½)Ṅ² + V(N)</w:t>
      </w:r>
    </w:p>
    <w:p>
      <w:pPr>
        <w:spacing w:after="140" w:before="140"/>
        <w:jc w:val="center"/>
      </w:pPr>
      <w:r>
        <w:rPr>
          <w:rFonts w:ascii="Courier New" w:cs="Courier New" w:eastAsia="Courier New" w:hAnsi="Courier New"/>
          <w:sz w:val="22"/>
          <w:szCs w:val="22"/>
        </w:rPr>
        <w:t xml:space="preserve">w = [(½)Ṅ² – V] / [(½)Ṅ² + V] ≥ –1  (structural)</w:t>
      </w:r>
    </w:p>
    <w:p>
      <w:pPr>
        <w:pStyle w:val="Heading2"/>
      </w:pPr>
      <w:r>
        <w:rPr>
          <w:rFonts w:ascii="Times New Roman" w:cs="Times New Roman" w:eastAsia="Times New Roman" w:hAnsi="Times New Roman"/>
          <w:b/>
          <w:bCs/>
          <w:sz w:val="26"/>
          <w:szCs w:val="26"/>
        </w:rPr>
        <w:t xml:space="preserve">2.3  Structural Properties</w:t>
      </w:r>
    </w:p>
    <w:p>
      <w:pPr>
        <w:spacing w:after="120" w:line="276"/>
      </w:pPr>
      <w:r>
        <w:rPr>
          <w:rFonts w:ascii="Times New Roman" w:cs="Times New Roman" w:eastAsia="Times New Roman" w:hAnsi="Times New Roman"/>
          <w:sz w:val="24"/>
          <w:szCs w:val="24"/>
        </w:rPr>
        <w:t xml:space="preserve">The following properties hold for any parameter values, as consequences of the canonical action and minimal coupling:</w:t>
      </w:r>
    </w:p>
    <w:p>
      <w:pPr>
        <w:spacing w:after="120" w:line="276"/>
      </w:pPr>
      <w:r>
        <w:rPr>
          <w:rFonts w:ascii="Times New Roman" w:cs="Times New Roman" w:eastAsia="Times New Roman" w:hAnsi="Times New Roman"/>
          <w:b/>
          <w:bCs/>
          <w:sz w:val="24"/>
          <w:szCs w:val="24"/>
        </w:rPr>
        <w:t xml:space="preserve">(S1) </w:t>
      </w:r>
      <w:r>
        <w:rPr>
          <w:rFonts w:ascii="Times New Roman" w:cs="Times New Roman" w:eastAsia="Times New Roman" w:hAnsi="Times New Roman"/>
          <w:sz w:val="24"/>
          <w:szCs w:val="24"/>
        </w:rPr>
        <w:t xml:space="preserve">w(z) ≥ –1 at all redshifts. No phantom crossing.</w:t>
      </w:r>
    </w:p>
    <w:p>
      <w:pPr>
        <w:spacing w:after="120" w:line="276"/>
      </w:pPr>
      <w:r>
        <w:rPr>
          <w:rFonts w:ascii="Times New Roman" w:cs="Times New Roman" w:eastAsia="Times New Roman" w:hAnsi="Times New Roman"/>
          <w:b/>
          <w:bCs/>
          <w:sz w:val="24"/>
          <w:szCs w:val="24"/>
        </w:rPr>
        <w:t xml:space="preserve">(S2) </w:t>
      </w:r>
      <w:r>
        <w:rPr>
          <w:rFonts w:ascii="Times New Roman" w:cs="Times New Roman" w:eastAsia="Times New Roman" w:hAnsi="Times New Roman"/>
          <w:sz w:val="24"/>
          <w:szCs w:val="24"/>
        </w:rPr>
        <w:t xml:space="preserve">Gravitational slip η = Φ/Ψ = 1 exactly. No anisotropic stress.</w:t>
      </w:r>
    </w:p>
    <w:p>
      <w:pPr>
        <w:spacing w:after="120" w:line="276"/>
      </w:pPr>
      <w:r>
        <w:rPr>
          <w:rFonts w:ascii="Times New Roman" w:cs="Times New Roman" w:eastAsia="Times New Roman" w:hAnsi="Times New Roman"/>
          <w:b/>
          <w:bCs/>
          <w:sz w:val="24"/>
          <w:szCs w:val="24"/>
        </w:rPr>
        <w:t xml:space="preserve">(S3) </w:t>
      </w:r>
      <w:r>
        <w:rPr>
          <w:rFonts w:ascii="Times New Roman" w:cs="Times New Roman" w:eastAsia="Times New Roman" w:hAnsi="Times New Roman"/>
          <w:sz w:val="24"/>
          <w:szCs w:val="24"/>
        </w:rPr>
        <w:t xml:space="preserve">Scale-independent linear growth modification. All k-modes grow at the same rate.</w:t>
      </w:r>
    </w:p>
    <w:p>
      <w:pPr>
        <w:spacing w:after="120" w:line="276"/>
      </w:pPr>
      <w:r>
        <w:rPr>
          <w:rFonts w:ascii="Times New Roman" w:cs="Times New Roman" w:eastAsia="Times New Roman" w:hAnsi="Times New Roman"/>
          <w:b/>
          <w:bCs/>
          <w:sz w:val="24"/>
          <w:szCs w:val="24"/>
        </w:rPr>
        <w:t xml:space="preserve">(S4) </w:t>
      </w:r>
      <w:r>
        <w:rPr>
          <w:rFonts w:ascii="Times New Roman" w:cs="Times New Roman" w:eastAsia="Times New Roman" w:hAnsi="Times New Roman"/>
          <w:sz w:val="24"/>
          <w:szCs w:val="24"/>
        </w:rPr>
        <w:t xml:space="preserve">Sound speed cₛ² = 1. Perturbations propagate causally.</w:t>
      </w:r>
    </w:p>
    <w:p>
      <w:pPr>
        <w:spacing w:after="120" w:line="276"/>
      </w:pPr>
      <w:r>
        <w:rPr>
          <w:rFonts w:ascii="Times New Roman" w:cs="Times New Roman" w:eastAsia="Times New Roman" w:hAnsi="Times New Roman"/>
          <w:i/>
          <w:iCs/>
          <w:color w:val="475569"/>
          <w:sz w:val="24"/>
          <w:szCs w:val="24"/>
        </w:rPr>
        <w:t xml:space="preserve">These properties are shared with all canonical quintessence models. They distinguish the model from modified gravity (f(R), etc.) but not from other canonical scalar field proposals.</w:t>
      </w:r>
    </w:p>
    <w:p>
      <w:r>
        <w:br w:type="page"/>
      </w:r>
    </w:p>
    <w:p>
      <w:pPr>
        <w:pStyle w:val="Heading1"/>
      </w:pPr>
      <w:r>
        <w:rPr>
          <w:rFonts w:ascii="Times New Roman" w:cs="Times New Roman" w:eastAsia="Times New Roman" w:hAnsi="Times New Roman"/>
          <w:b/>
          <w:bCs/>
          <w:sz w:val="28"/>
          <w:szCs w:val="28"/>
        </w:rPr>
        <w:t xml:space="preserve">3.  Background Dynamics and Branch Structure</w:t>
      </w:r>
    </w:p>
    <w:p>
      <w:pPr>
        <w:pStyle w:val="Heading2"/>
      </w:pPr>
      <w:r>
        <w:rPr>
          <w:rFonts w:ascii="Times New Roman" w:cs="Times New Roman" w:eastAsia="Times New Roman" w:hAnsi="Times New Roman"/>
          <w:b/>
          <w:bCs/>
          <w:sz w:val="26"/>
          <w:szCs w:val="26"/>
        </w:rPr>
        <w:t xml:space="preserve">3.1  The Thawing Branch</w:t>
      </w:r>
    </w:p>
    <w:p>
      <w:pPr>
        <w:spacing w:after="120" w:line="276"/>
      </w:pPr>
      <w:r>
        <w:rPr>
          <w:rFonts w:ascii="Times New Roman" w:cs="Times New Roman" w:eastAsia="Times New Roman" w:hAnsi="Times New Roman"/>
          <w:sz w:val="24"/>
          <w:szCs w:val="24"/>
        </w:rPr>
        <w:t xml:space="preserve">For Nᵢ ≫ 1 (the field starts on the plateau), V′(N) is exponentially small and Hubble friction 3HṄ dominates. The field is frozen at its initial value throughout radiation and matter domination. It begins rolling only when H drops to a value comparable to √V′′, which occurs around the matter–dark-energy transition. This is the thawing branch. The analytic slow-roll attractor gives w + 1 ∝ e^{–2αN}, which is exponentially small on the plateau.</w:t>
      </w:r>
    </w:p>
    <w:p>
      <w:pPr>
        <w:pStyle w:val="Heading2"/>
      </w:pPr>
      <w:r>
        <w:rPr>
          <w:rFonts w:ascii="Times New Roman" w:cs="Times New Roman" w:eastAsia="Times New Roman" w:hAnsi="Times New Roman"/>
          <w:b/>
          <w:bCs/>
          <w:sz w:val="26"/>
          <w:szCs w:val="26"/>
        </w:rPr>
        <w:t xml:space="preserve">3.2  Branch Selection</w:t>
      </w:r>
    </w:p>
    <w:p>
      <w:pPr>
        <w:spacing w:after="120" w:line="276"/>
      </w:pPr>
      <w:r>
        <w:rPr>
          <w:rFonts w:ascii="Times New Roman" w:cs="Times New Roman" w:eastAsia="Times New Roman" w:hAnsi="Times New Roman"/>
          <w:sz w:val="24"/>
          <w:szCs w:val="24"/>
        </w:rPr>
        <w:t xml:space="preserve">The physically natural high-Nᵢ branch is Hubble-frozen and thaws late. For more moderate Nᵢ ~ O(1), different late-time behavior can arise, including oscillatory or freezing-like trajectories. The ΛCDM limit (N = 0 exactly) is a measure-zero special case. The model therefore contains a continuous family of thawing solutions parameterized by Nᵢ, ranging from near-ΛCDM (large Nᵢ) to strongly deviating (moderate Nᵢ).</w:t>
      </w:r>
    </w:p>
    <w:p>
      <w:pPr>
        <w:pStyle w:val="Heading2"/>
      </w:pPr>
      <w:r>
        <w:rPr>
          <w:rFonts w:ascii="Times New Roman" w:cs="Times New Roman" w:eastAsia="Times New Roman" w:hAnsi="Times New Roman"/>
          <w:b/>
          <w:bCs/>
          <w:sz w:val="26"/>
          <w:szCs w:val="26"/>
        </w:rPr>
        <w:t xml:space="preserve">3.3  Shape-Specific Prediction</w:t>
      </w:r>
    </w:p>
    <w:p>
      <w:pPr>
        <w:spacing w:after="120" w:line="276"/>
      </w:pPr>
      <w:r>
        <w:rPr>
          <w:rFonts w:ascii="Times New Roman" w:cs="Times New Roman" w:eastAsia="Times New Roman" w:hAnsi="Times New Roman"/>
          <w:sz w:val="24"/>
          <w:szCs w:val="24"/>
        </w:rPr>
        <w:t xml:space="preserve">For thawing quintessence, the late-time equation of state satisfies wₐ ≈ –p(1 + w₀), where p depends on the potential shape through Γ = VV′′/(V′)² [9, 10]. For the Starobinsky completion potential:</w:t>
      </w:r>
    </w:p>
    <w:p>
      <w:pPr>
        <w:spacing w:after="140" w:before="140"/>
        <w:jc w:val="center"/>
      </w:pPr>
      <w:r>
        <w:rPr>
          <w:rFonts w:ascii="Courier New" w:cs="Courier New" w:eastAsia="Courier New" w:hAnsi="Courier New"/>
          <w:sz w:val="22"/>
          <w:szCs w:val="22"/>
        </w:rPr>
        <w:t xml:space="preserve">Γ(N ≈ 0.3) = 0.380    →    p = 1.30</w:t>
      </w:r>
    </w:p>
    <w:p>
      <w:pPr>
        <w:spacing w:after="120" w:line="276"/>
      </w:pPr>
      <w:r>
        <w:rPr>
          <w:rFonts w:ascii="Times New Roman" w:cs="Times New Roman" w:eastAsia="Times New Roman" w:hAnsi="Times New Roman"/>
          <w:sz w:val="24"/>
          <w:szCs w:val="24"/>
        </w:rPr>
        <w:t xml:space="preserve">This is fixed by α = √(2/3) and is not a fit parameter. For comparison: quadratic gives p = 1.50; exponential gives p = 2.00. This is the model’s most distinctive testable prediction.</w:t>
      </w:r>
    </w:p>
    <w:p>
      <w:r>
        <w:br w:type="page"/>
      </w:r>
    </w:p>
    <w:p>
      <w:pPr>
        <w:pStyle w:val="Heading1"/>
      </w:pPr>
      <w:r>
        <w:rPr>
          <w:rFonts w:ascii="Times New Roman" w:cs="Times New Roman" w:eastAsia="Times New Roman" w:hAnsi="Times New Roman"/>
          <w:b/>
          <w:bCs/>
          <w:sz w:val="28"/>
          <w:szCs w:val="28"/>
        </w:rPr>
        <w:t xml:space="preserve">4.  Stability</w:t>
      </w:r>
    </w:p>
    <w:p>
      <w:pPr>
        <w:spacing w:after="120" w:line="276"/>
      </w:pPr>
      <w:r>
        <w:rPr>
          <w:rFonts w:ascii="Times New Roman" w:cs="Times New Roman" w:eastAsia="Times New Roman" w:hAnsi="Times New Roman"/>
          <w:b/>
          <w:bCs/>
          <w:sz w:val="24"/>
          <w:szCs w:val="24"/>
        </w:rPr>
        <w:t xml:space="preserve">No ghosts: </w:t>
      </w:r>
      <w:r>
        <w:rPr>
          <w:rFonts w:ascii="Times New Roman" w:cs="Times New Roman" w:eastAsia="Times New Roman" w:hAnsi="Times New Roman"/>
          <w:sz w:val="24"/>
          <w:szCs w:val="24"/>
        </w:rPr>
        <w:t xml:space="preserve">canonical positive-definite kinetic term. </w:t>
      </w:r>
      <w:r>
        <w:rPr>
          <w:rFonts w:ascii="Times New Roman" w:cs="Times New Roman" w:eastAsia="Times New Roman" w:hAnsi="Times New Roman"/>
          <w:b/>
          <w:bCs/>
          <w:sz w:val="24"/>
          <w:szCs w:val="24"/>
        </w:rPr>
        <w:t xml:space="preserve">No gradient instability: </w:t>
      </w:r>
      <w:r>
        <w:rPr>
          <w:rFonts w:ascii="Times New Roman" w:cs="Times New Roman" w:eastAsia="Times New Roman" w:hAnsi="Times New Roman"/>
          <w:sz w:val="24"/>
          <w:szCs w:val="24"/>
        </w:rPr>
        <w:t xml:space="preserve">cₛ² = 1. </w:t>
      </w:r>
      <w:r>
        <w:rPr>
          <w:rFonts w:ascii="Times New Roman" w:cs="Times New Roman" w:eastAsia="Times New Roman" w:hAnsi="Times New Roman"/>
          <w:b/>
          <w:bCs/>
          <w:sz w:val="24"/>
          <w:szCs w:val="24"/>
        </w:rPr>
        <w:t xml:space="preserve">Stable minimum: </w:t>
      </w:r>
      <w:r>
        <w:rPr>
          <w:rFonts w:ascii="Times New Roman" w:cs="Times New Roman" w:eastAsia="Times New Roman" w:hAnsi="Times New Roman"/>
          <w:sz w:val="24"/>
          <w:szCs w:val="24"/>
        </w:rPr>
        <w:t xml:space="preserve">V′′(0) = (4/3)V₀ &gt; 0. </w:t>
      </w:r>
      <w:r>
        <w:rPr>
          <w:rFonts w:ascii="Times New Roman" w:cs="Times New Roman" w:eastAsia="Times New Roman" w:hAnsi="Times New Roman"/>
          <w:b/>
          <w:bCs/>
          <w:sz w:val="24"/>
          <w:szCs w:val="24"/>
        </w:rPr>
        <w:t xml:space="preserve">Hubble-stabilized plateau: </w:t>
      </w:r>
      <w:r>
        <w:rPr>
          <w:rFonts w:ascii="Times New Roman" w:cs="Times New Roman" w:eastAsia="Times New Roman" w:hAnsi="Times New Roman"/>
          <w:sz w:val="24"/>
          <w:szCs w:val="24"/>
        </w:rPr>
        <w:t xml:space="preserve">the negative curvature at the inflection point has |V′′|^{1/2} ≪ H throughout radiation and matter domination, so Hubble friction prevents tachyonic rolling. This is the same stabilization mechanism as in Starobinsky inflation [6].</w:t>
      </w:r>
    </w:p>
    <w:p>
      <w:r>
        <w:br w:type="page"/>
      </w:r>
    </w:p>
    <w:p>
      <w:pPr>
        <w:pStyle w:val="Heading1"/>
      </w:pPr>
      <w:r>
        <w:rPr>
          <w:rFonts w:ascii="Times New Roman" w:cs="Times New Roman" w:eastAsia="Times New Roman" w:hAnsi="Times New Roman"/>
          <w:b/>
          <w:bCs/>
          <w:sz w:val="28"/>
          <w:szCs w:val="28"/>
        </w:rPr>
        <w:t xml:space="preserve">5.  Observational Methodology</w:t>
      </w:r>
    </w:p>
    <w:p>
      <w:pPr>
        <w:spacing w:after="120" w:line="276"/>
      </w:pPr>
      <w:r>
        <w:rPr>
          <w:rFonts w:ascii="Times New Roman" w:cs="Times New Roman" w:eastAsia="Times New Roman" w:hAnsi="Times New Roman"/>
          <w:sz w:val="24"/>
          <w:szCs w:val="24"/>
        </w:rPr>
        <w:t xml:space="preserve">All Boltzmann-solver results use CLASS v3.3.4 [11] with a modified source/background.c implementing the NPT potential. The functions V_scf, dV_scf, and ddV_scf are replaced with V₀(1 – e^{–αφ})² and its derivatives, with α = √(2/3) hardcoded. V₀ is tuned by CLASS’s shooting algorithm via scf_parameters[0] to satisfy the closure equation. The source code modifications are documented and reproducible.</w:t>
      </w:r>
    </w:p>
    <w:p>
      <w:pPr>
        <w:pStyle w:val="Heading2"/>
      </w:pPr>
      <w:r>
        <w:rPr>
          <w:rFonts w:ascii="Times New Roman" w:cs="Times New Roman" w:eastAsia="Times New Roman" w:hAnsi="Times New Roman"/>
          <w:b/>
          <w:bCs/>
          <w:sz w:val="26"/>
          <w:szCs w:val="26"/>
        </w:rPr>
        <w:t xml:space="preserve">5.1  Background Parameters</w:t>
      </w:r>
    </w:p>
    <w:p>
      <w:pPr>
        <w:spacing w:after="120" w:line="276"/>
      </w:pPr>
      <w:r>
        <w:rPr>
          <w:rFonts w:ascii="Times New Roman" w:cs="Times New Roman" w:eastAsia="Times New Roman" w:hAnsi="Times New Roman"/>
          <w:sz w:val="24"/>
          <w:szCs w:val="24"/>
        </w:rPr>
        <w:t xml:space="preserve">Fixed cosmological parameters: h = 0.6777, ω_b = 0.02237, ω_cdm = 0.1200, N_ur = 2.0328, one massive neutrino with m = 0.06 eV, T_CMB = 2.7255 K, consistent with Planck 2018 [12]. Primordial spectrum: Aₛ = 2.1 × 10⁻⁹, nₛ = 0.9649, τ_reio = 0.0544. No cosmological constant (ΩΛ = 0) and no fluid dark energy (Ω_fld = 0); the scalar field provides all dark energy.</w:t>
      </w:r>
    </w:p>
    <w:p>
      <w:pPr>
        <w:pStyle w:val="Heading2"/>
      </w:pPr>
      <w:r>
        <w:rPr>
          <w:rFonts w:ascii="Times New Roman" w:cs="Times New Roman" w:eastAsia="Times New Roman" w:hAnsi="Times New Roman"/>
          <w:b/>
          <w:bCs/>
          <w:sz w:val="26"/>
          <w:szCs w:val="26"/>
        </w:rPr>
        <w:t xml:space="preserve">5.2  Initial Conditions and Scanning</w:t>
      </w:r>
    </w:p>
    <w:p>
      <w:pPr>
        <w:spacing w:after="120" w:line="276"/>
      </w:pPr>
      <w:r>
        <w:rPr>
          <w:rFonts w:ascii="Times New Roman" w:cs="Times New Roman" w:eastAsia="Times New Roman" w:hAnsi="Times New Roman"/>
          <w:sz w:val="24"/>
          <w:szCs w:val="24"/>
        </w:rPr>
        <w:t xml:space="preserve">The field starts with Ṅ = 0 (Hubble-frozen) and N = Nᵢ as a free parameter. We scan Nᵢ from 2.3 to 3.0. CLASS integrates the coupled Klein-Gordon + Friedmann system from a = 10⁻¹⁴ to a = 1, computing full CMB anisotropy, matter power spectrum P(k), σ₈, and all derived background quantities.</w:t>
      </w:r>
    </w:p>
    <w:p>
      <w:pPr>
        <w:pStyle w:val="Heading2"/>
      </w:pPr>
      <w:r>
        <w:rPr>
          <w:rFonts w:ascii="Times New Roman" w:cs="Times New Roman" w:eastAsia="Times New Roman" w:hAnsi="Times New Roman"/>
          <w:b/>
          <w:bCs/>
          <w:sz w:val="26"/>
          <w:szCs w:val="26"/>
        </w:rPr>
        <w:t xml:space="preserve">5.3  Model Selection</w:t>
      </w:r>
    </w:p>
    <w:p>
      <w:pPr>
        <w:spacing w:after="120" w:line="276"/>
      </w:pPr>
      <w:r>
        <w:rPr>
          <w:rFonts w:ascii="Times New Roman" w:cs="Times New Roman" w:eastAsia="Times New Roman" w:hAnsi="Times New Roman"/>
          <w:sz w:val="24"/>
          <w:szCs w:val="24"/>
        </w:rPr>
        <w:t xml:space="preserve">Comparison with ΛCDM uses the same CLASS setup with ΩΛ inferred from closure. The model has two effective parameters (V₀ and Nᵢ) versus one for ΛCDM (ΩΛ). Under AIC, this incurs a +2 penalty. We describe the model as approximately AIC-competitive when the improved χ² compensates this penalty, and note that this is a compressed comparison, not a full MCMC likelihood analysis.</w:t>
      </w:r>
    </w:p>
    <w:p>
      <w:r>
        <w:br w:type="page"/>
      </w:r>
    </w:p>
    <w:p>
      <w:pPr>
        <w:pStyle w:val="Heading1"/>
      </w:pPr>
      <w:r>
        <w:rPr>
          <w:rFonts w:ascii="Times New Roman" w:cs="Times New Roman" w:eastAsia="Times New Roman" w:hAnsi="Times New Roman"/>
          <w:b/>
          <w:bCs/>
          <w:sz w:val="28"/>
          <w:szCs w:val="28"/>
        </w:rPr>
        <w:t xml:space="preserve">6.  Results from the CLASS Boltzmann Solver</w:t>
      </w:r>
    </w:p>
    <w:p>
      <w:pPr>
        <w:pStyle w:val="Heading2"/>
      </w:pPr>
      <w:r>
        <w:rPr>
          <w:rFonts w:ascii="Times New Roman" w:cs="Times New Roman" w:eastAsia="Times New Roman" w:hAnsi="Times New Roman"/>
          <w:b/>
          <w:bCs/>
          <w:sz w:val="26"/>
          <w:szCs w:val="26"/>
        </w:rPr>
        <w:t xml:space="preserve">6.1  Branch Scan</w:t>
      </w:r>
    </w:p>
    <w:p>
      <w:pPr>
        <w:spacing w:after="120" w:line="276"/>
      </w:pPr>
      <w:r>
        <w:rPr>
          <w:rFonts w:ascii="Times New Roman" w:cs="Times New Roman" w:eastAsia="Times New Roman" w:hAnsi="Times New Roman"/>
          <w:sz w:val="24"/>
          <w:szCs w:val="24"/>
        </w:rPr>
        <w:t xml:space="preserve">The following table presents CLASS outputs for the ΛCDM reference and four NPT branches, all with identical background cosmological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600"/>
        <w:gridCol w:w="1200"/>
        <w:gridCol w:w="1200"/>
        <w:gridCol w:w="1360"/>
      </w:tblGrid>
      <w:tr>
        <w:tc>
          <w:tcPr>
            <w:tcW w:type="dxa" w:w="160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Model</w:t>
            </w:r>
          </w:p>
        </w:tc>
        <w:tc>
          <w:tcPr>
            <w:tcW w:type="dxa" w:w="120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Nᵢ</w:t>
            </w:r>
          </w:p>
        </w:tc>
        <w:tc>
          <w:tcPr>
            <w:tcW w:type="dxa" w:w="120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σ₈</w:t>
            </w:r>
          </w:p>
        </w:tc>
        <w:tc>
          <w:tcPr>
            <w:tcW w:type="dxa" w:w="160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S₈</w:t>
            </w:r>
          </w:p>
        </w:tc>
        <w:tc>
          <w:tcPr>
            <w:tcW w:type="dxa" w:w="120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w₀</w:t>
            </w:r>
          </w:p>
        </w:tc>
        <w:tc>
          <w:tcPr>
            <w:tcW w:type="dxa" w:w="120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Age</w:t>
            </w:r>
          </w:p>
        </w:tc>
        <w:tc>
          <w:tcPr>
            <w:tcW w:type="dxa" w:w="136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rₛ</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Arial" w:cs="Arial" w:eastAsia="Arial" w:hAnsi="Arial"/>
                <w:b w:val="false"/>
                <w:bCs w:val="false"/>
                <w:color w:val="1E293B"/>
                <w:sz w:val="20"/>
                <w:szCs w:val="20"/>
              </w:rPr>
              <w:t xml:space="preserve">ΛCDM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0.812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0.827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13.76</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147.1</w:t>
            </w:r>
          </w:p>
        </w:tc>
      </w:tr>
      <w:tr>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left"/>
            </w:pPr>
            <w:r>
              <w:rPr>
                <w:rFonts w:ascii="Arial" w:cs="Arial" w:eastAsia="Arial" w:hAnsi="Arial"/>
                <w:b w:val="false"/>
                <w:bCs w:val="false"/>
                <w:color w:val="1E293B"/>
                <w:sz w:val="20"/>
                <w:szCs w:val="20"/>
              </w:rPr>
              <w:t xml:space="preserve">NPT</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3.0</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0.805</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0.820</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–0.996</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13.66</w:t>
            </w:r>
          </w:p>
        </w:tc>
        <w:tc>
          <w:tcPr>
            <w:tcW w:type="dxa" w:w="13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147.1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Arial" w:cs="Arial" w:eastAsia="Arial" w:hAnsi="Arial"/>
                <w:b w:val="false"/>
                <w:bCs w:val="false"/>
                <w:color w:val="1E293B"/>
                <w:sz w:val="20"/>
                <w:szCs w:val="20"/>
              </w:rPr>
              <w:t xml:space="preserve">NPT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2.9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0.802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0.817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–0.995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13.61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147.1</w:t>
            </w:r>
          </w:p>
        </w:tc>
      </w:tr>
      <w:tr>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left"/>
            </w:pPr>
            <w:r>
              <w:rPr>
                <w:rFonts w:ascii="Arial" w:cs="Arial" w:eastAsia="Arial" w:hAnsi="Arial"/>
                <w:b w:val="false"/>
                <w:bCs w:val="false"/>
                <w:color w:val="1E293B"/>
                <w:sz w:val="20"/>
                <w:szCs w:val="20"/>
              </w:rPr>
              <w:t xml:space="preserve">NPT</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2.8</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0.797</w:t>
            </w:r>
          </w:p>
        </w:tc>
        <w:tc>
          <w:tcPr>
            <w:tcW w:type="dxa" w:w="16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0.811</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–0.994</w:t>
            </w:r>
          </w:p>
        </w:tc>
        <w:tc>
          <w:tcPr>
            <w:tcW w:type="dxa" w:w="1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13.52</w:t>
            </w:r>
          </w:p>
        </w:tc>
        <w:tc>
          <w:tcPr>
            <w:tcW w:type="dxa" w:w="13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147.1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Arial" w:cs="Arial" w:eastAsia="Arial" w:hAnsi="Arial"/>
                <w:b w:val="false"/>
                <w:bCs w:val="false"/>
                <w:color w:val="1E293B"/>
                <w:sz w:val="20"/>
                <w:szCs w:val="20"/>
              </w:rPr>
              <w:t xml:space="preserve">NPT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2.7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0.789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0.803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–0.993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13.40</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147.1</w:t>
            </w:r>
          </w:p>
        </w:tc>
      </w:tr>
    </w:tbl>
    <w:p>
      <w:pPr>
        <w:spacing w:after="80"/>
      </w:pPr>
    </w:p>
    <w:p>
      <w:pPr>
        <w:spacing w:after="120" w:line="276"/>
      </w:pPr>
      <w:r>
        <w:rPr>
          <w:rFonts w:ascii="Times New Roman" w:cs="Times New Roman" w:eastAsia="Times New Roman" w:hAnsi="Times New Roman"/>
          <w:i/>
          <w:iCs/>
          <w:color w:val="475569"/>
          <w:sz w:val="20"/>
          <w:szCs w:val="20"/>
        </w:rPr>
        <w:t xml:space="preserve">Table 1: CLASS outputs for ΛCDM and NPT at different initial field values. All runs use identical background cosmological parameters. Age in Gyr; rₛ in Mpc. S₈ = σ₈√(Ω_m/0.3).</w:t>
      </w:r>
    </w:p>
    <w:p>
      <w:pPr>
        <w:spacing w:after="80"/>
      </w:pPr>
    </w:p>
    <w:p>
      <w:pPr>
        <w:pStyle w:val="Heading2"/>
      </w:pPr>
      <w:r>
        <w:rPr>
          <w:rFonts w:ascii="Times New Roman" w:cs="Times New Roman" w:eastAsia="Times New Roman" w:hAnsi="Times New Roman"/>
          <w:b/>
          <w:bCs/>
          <w:sz w:val="26"/>
          <w:szCs w:val="26"/>
        </w:rPr>
        <w:t xml:space="preserve">6.2  The Nᵢ = 2.7 Branch</w:t>
      </w:r>
    </w:p>
    <w:p>
      <w:pPr>
        <w:spacing w:after="120" w:line="276"/>
      </w:pPr>
      <w:r>
        <w:rPr>
          <w:rFonts w:ascii="Times New Roman" w:cs="Times New Roman" w:eastAsia="Times New Roman" w:hAnsi="Times New Roman"/>
          <w:sz w:val="24"/>
          <w:szCs w:val="24"/>
        </w:rPr>
        <w:t xml:space="preserve">The Nᵢ = 2.7 branch matches the DES Y6 central σ₈ value (0.789 ± 0.012) in the present CLASS run. The S₈ tension with Planck is reduced from ~3.8σ (ΛCDM) to ~1.2σ (NPT). The sound horizon rₛ = 147.1 Mpc is preserved, and 100θₛ = 1.047 remains close to the Planck value.</w:t>
      </w:r>
    </w:p>
    <w:p>
      <w:pPr>
        <w:spacing w:after="120" w:line="276"/>
      </w:pPr>
      <w:r>
        <w:rPr>
          <w:rFonts w:ascii="Times New Roman" w:cs="Times New Roman" w:eastAsia="Times New Roman" w:hAnsi="Times New Roman"/>
          <w:sz w:val="24"/>
          <w:szCs w:val="24"/>
        </w:rPr>
        <w:t xml:space="preserve">The age at this branch is 13.40 Gyr, compared to 13.76 Gyr for ΛCDM. This is 360 Myr younger, which constitutes a tension with the Planck age constraint (13.80 ± 0.02 Gyr) that must be addressed. The age discrepancy may be resolvable by jointly fitting H₀ and other background parameters, but this has not been done in the present work.</w:t>
      </w:r>
    </w:p>
    <w:p>
      <w:pPr>
        <w:spacing w:after="120" w:line="276"/>
      </w:pPr>
      <w:r>
        <w:rPr>
          <w:rFonts w:ascii="Times New Roman" w:cs="Times New Roman" w:eastAsia="Times New Roman" w:hAnsi="Times New Roman"/>
          <w:i/>
          <w:iCs/>
          <w:color w:val="475569"/>
          <w:sz w:val="24"/>
          <w:szCs w:val="24"/>
        </w:rPr>
        <w:t xml:space="preserve">The σ₈ match is a numerical output of the present CLASS implementation at one specific Nᵢ value, not a zero-parameter prediction. Nᵢ is a free parameter and the value 2.7 was identified by scanning. A rigorous assessment requires simultaneous fitting of all observables (CMB Cℓ, BAO, SNIa, growth rate, σ₈) with Nᵢ and V₀ as free parameters in an MCMC framework.</w:t>
      </w:r>
    </w:p>
    <w:p>
      <w:pPr>
        <w:pStyle w:val="Heading2"/>
      </w:pPr>
      <w:r>
        <w:rPr>
          <w:rFonts w:ascii="Times New Roman" w:cs="Times New Roman" w:eastAsia="Times New Roman" w:hAnsi="Times New Roman"/>
          <w:b/>
          <w:bCs/>
          <w:sz w:val="26"/>
          <w:szCs w:val="26"/>
        </w:rPr>
        <w:t xml:space="preserve">6.3  Smooth Transition from ΛCDM</w:t>
      </w:r>
    </w:p>
    <w:p>
      <w:pPr>
        <w:spacing w:after="120" w:line="276"/>
      </w:pPr>
      <w:r>
        <w:rPr>
          <w:rFonts w:ascii="Times New Roman" w:cs="Times New Roman" w:eastAsia="Times New Roman" w:hAnsi="Times New Roman"/>
          <w:sz w:val="24"/>
          <w:szCs w:val="24"/>
        </w:rPr>
        <w:t xml:space="preserve">The scan shows a smooth, monotonic progression: as Nᵢ decreases from 3.0 to 2.7, σ₈ decreases from 0.805 to 0.789, w₀ moves from –0.996 to –0.993, and the S₈ tension steadily decreases. This demonstrates that the model contains a continuous parameter that interpolates between near-ΛCDM behavior and enhanced growth suppression.</w:t>
      </w:r>
    </w:p>
    <w:p>
      <w:pPr>
        <w:spacing w:after="120" w:line="276"/>
      </w:pPr>
      <w:r>
        <w:rPr>
          <w:rFonts w:ascii="Times New Roman" w:cs="Times New Roman" w:eastAsia="Times New Roman" w:hAnsi="Times New Roman"/>
          <w:sz w:val="24"/>
          <w:szCs w:val="24"/>
        </w:rPr>
        <w:t xml:space="preserve">Below Nᵢ ≈ 2.5, the field exits the plateau and rolls rapidly, producing unphysical results (age ~ 9 Gyr, σ₈ ~ 0.55). The physically viable parameter range is Nᵢ &gt; 2.5 in the present implementation. Accessing the stronger-deviation branch (w₀ ~ –0.5, matching DESI DR2 central values) is limited by shooting convergence in the present CLASS implementation; whether this reflects only numerics or also a narrowing of the viable physical branch remains to be clarified.</w:t>
      </w:r>
    </w:p>
    <w:p>
      <w:r>
        <w:br w:type="page"/>
      </w:r>
    </w:p>
    <w:p>
      <w:pPr>
        <w:pStyle w:val="Heading1"/>
      </w:pPr>
      <w:r>
        <w:rPr>
          <w:rFonts w:ascii="Times New Roman" w:cs="Times New Roman" w:eastAsia="Times New Roman" w:hAnsi="Times New Roman"/>
          <w:b/>
          <w:bCs/>
          <w:sz w:val="28"/>
          <w:szCs w:val="28"/>
        </w:rPr>
        <w:t xml:space="preserve">7.  Comparison with Modified Gravity</w:t>
      </w:r>
    </w:p>
    <w:p>
      <w:pPr>
        <w:spacing w:after="120" w:line="276"/>
      </w:pPr>
      <w:r>
        <w:rPr>
          <w:rFonts w:ascii="Times New Roman" w:cs="Times New Roman" w:eastAsia="Times New Roman" w:hAnsi="Times New Roman"/>
          <w:sz w:val="24"/>
          <w:szCs w:val="24"/>
        </w:rPr>
        <w:t xml:space="preserve">The leading screened modified gravity benchmark is Hu–Sawicki f(R) [13]. The minimal completion-deficit model and Hu–Sawicki make qualitatively different predictions: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Observable</w:t>
            </w:r>
          </w:p>
        </w:tc>
        <w:tc>
          <w:tcPr>
            <w:tcW w:type="dxa" w:w="220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Completion Deficit</w:t>
            </w:r>
          </w:p>
        </w:tc>
        <w:tc>
          <w:tcPr>
            <w:tcW w:type="dxa" w:w="220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Hu–Sawicki f(R)</w:t>
            </w:r>
          </w:p>
        </w:tc>
        <w:tc>
          <w:tcPr>
            <w:tcW w:type="dxa" w:w="2160"/>
            <w:tcBorders>
              <w:top w:val="single" w:color="999999" w:sz="1"/>
              <w:left w:val="single" w:color="999999" w:sz="1"/>
              <w:bottom w:val="single" w:color="999999" w:sz="1"/>
              <w:right w:val="single" w:color="999999" w:sz="1"/>
            </w:tcBorders>
            <w:shd w:fill="1E293B" w:val="clear"/>
            <w:tcMar>
              <w:top w:type="dxa" w:w="60"/>
              <w:left w:type="dxa" w:w="100"/>
              <w:bottom w:type="dxa" w:w="60"/>
              <w:right w:type="dxa" w:w="100"/>
            </w:tcMar>
          </w:tcPr>
          <w:p>
            <w:pPr>
              <w:spacing w:after="0"/>
              <w:jc w:val="left"/>
            </w:pPr>
            <w:r>
              <w:rPr>
                <w:rFonts w:ascii="Arial" w:cs="Arial" w:eastAsia="Arial" w:hAnsi="Arial"/>
                <w:b/>
                <w:bCs/>
                <w:color w:val="FFFFFF"/>
                <w:sz w:val="20"/>
                <w:szCs w:val="20"/>
              </w:rPr>
              <w:t xml:space="preserve">Test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Arial" w:cs="Arial" w:eastAsia="Arial" w:hAnsi="Arial"/>
                <w:b w:val="false"/>
                <w:bCs w:val="false"/>
                <w:color w:val="1E293B"/>
                <w:sz w:val="20"/>
                <w:szCs w:val="20"/>
              </w:rPr>
              <w:t xml:space="preserve">Expansion H(z)</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Modified (w&gt;–1)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 ΛCDM</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BAO H(z)</w:t>
            </w:r>
          </w:p>
        </w:tc>
      </w:tr>
      <w:tr>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left"/>
            </w:pPr>
            <w:r>
              <w:rPr>
                <w:rFonts w:ascii="Arial" w:cs="Arial" w:eastAsia="Arial" w:hAnsi="Arial"/>
                <w:b w:val="false"/>
                <w:bCs w:val="false"/>
                <w:color w:val="1E293B"/>
                <w:sz w:val="20"/>
                <w:szCs w:val="20"/>
              </w:rPr>
              <w:t xml:space="preserve">Growth direction</w:t>
            </w:r>
          </w:p>
        </w:tc>
        <w:tc>
          <w:tcPr>
            <w:tcW w:type="dxa" w:w="2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Suppressed</w:t>
            </w:r>
          </w:p>
        </w:tc>
        <w:tc>
          <w:tcPr>
            <w:tcW w:type="dxa" w:w="2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Enhanced</w:t>
            </w:r>
          </w:p>
        </w:tc>
        <w:tc>
          <w:tcPr>
            <w:tcW w:type="dxa" w:w="2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fσ₈</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Arial" w:cs="Arial" w:eastAsia="Arial" w:hAnsi="Arial"/>
                <w:b w:val="false"/>
                <w:bCs w:val="false"/>
                <w:color w:val="1E293B"/>
                <w:sz w:val="20"/>
                <w:szCs w:val="20"/>
              </w:rPr>
              <w:t xml:space="preserve">Gravitational slip</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η = 1 (GR)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η &gt; 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Euclid WL+GC</w:t>
            </w:r>
          </w:p>
        </w:tc>
      </w:tr>
      <w:tr>
        <w:tc>
          <w:tcPr>
            <w:tcW w:type="dxa" w:w="28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left"/>
            </w:pPr>
            <w:r>
              <w:rPr>
                <w:rFonts w:ascii="Arial" w:cs="Arial" w:eastAsia="Arial" w:hAnsi="Arial"/>
                <w:b w:val="false"/>
                <w:bCs w:val="false"/>
                <w:color w:val="1E293B"/>
                <w:sz w:val="20"/>
                <w:szCs w:val="20"/>
              </w:rPr>
              <w:t xml:space="preserve">Scale dependence</w:t>
            </w:r>
          </w:p>
        </w:tc>
        <w:tc>
          <w:tcPr>
            <w:tcW w:type="dxa" w:w="2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None</w:t>
            </w:r>
          </w:p>
        </w:tc>
        <w:tc>
          <w:tcPr>
            <w:tcW w:type="dxa" w:w="220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k-dependent</w:t>
            </w:r>
          </w:p>
        </w:tc>
        <w:tc>
          <w:tcPr>
            <w:tcW w:type="dxa" w:w="2160"/>
            <w:tcBorders>
              <w:top w:val="single" w:color="999999" w:sz="1"/>
              <w:left w:val="single" w:color="999999" w:sz="1"/>
              <w:bottom w:val="single" w:color="999999" w:sz="1"/>
              <w:right w:val="single" w:color="999999" w:sz="1"/>
            </w:tcBorders>
            <w:shd w:fill="F8FAFC" w:val="clear"/>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Cluster counts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Arial" w:cs="Arial" w:eastAsia="Arial" w:hAnsi="Arial"/>
                <w:b w:val="false"/>
                <w:bCs w:val="false"/>
                <w:color w:val="1E293B"/>
                <w:sz w:val="20"/>
                <w:szCs w:val="20"/>
              </w:rPr>
              <w:t xml:space="preserve">S₈ direction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Reduced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Increased</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Arial" w:cs="Arial" w:eastAsia="Arial" w:hAnsi="Arial"/>
                <w:b w:val="false"/>
                <w:bCs w:val="false"/>
                <w:color w:val="1E293B"/>
                <w:sz w:val="20"/>
                <w:szCs w:val="20"/>
              </w:rPr>
              <w:t xml:space="preserve">Lensing</w:t>
            </w:r>
          </w:p>
        </w:tc>
      </w:tr>
    </w:tbl>
    <w:p>
      <w:pPr>
        <w:spacing w:after="80"/>
      </w:pPr>
    </w:p>
    <w:p>
      <w:pPr>
        <w:spacing w:after="120" w:line="276"/>
      </w:pPr>
      <w:r>
        <w:rPr>
          <w:rFonts w:ascii="Times New Roman" w:cs="Times New Roman" w:eastAsia="Times New Roman" w:hAnsi="Times New Roman"/>
          <w:i/>
          <w:iCs/>
          <w:color w:val="475569"/>
          <w:sz w:val="20"/>
          <w:szCs w:val="20"/>
        </w:rPr>
        <w:t xml:space="preserve">Table 2: Qualitative structural predictions. This is a direction-of-prediction comparison, not a fully benchmarked statistical analysis.</w:t>
      </w:r>
    </w:p>
    <w:p>
      <w:pPr>
        <w:spacing w:after="80"/>
      </w:pPr>
    </w:p>
    <w:p>
      <w:pPr>
        <w:spacing w:after="120" w:line="276"/>
      </w:pPr>
      <w:r>
        <w:rPr>
          <w:rFonts w:ascii="Times New Roman" w:cs="Times New Roman" w:eastAsia="Times New Roman" w:hAnsi="Times New Roman"/>
          <w:sz w:val="24"/>
          <w:szCs w:val="24"/>
        </w:rPr>
        <w:t xml:space="preserve">Existing data are consistent with the completion-deficit direction: the gravitational slip from 130 galaxy lens systems gives η = 0.90 ± 0.16 [14], consistent with GR (η = 1); the E_G parameter gives 0.39 ± 0.06 [15], consistent with the GR prediction of 0.4; and weak lensing surveys consistently measure less growth than Planck predicts, favoring suppression over enhancement.</w:t>
      </w:r>
    </w:p>
    <w:p>
      <w:r>
        <w:br w:type="page"/>
      </w:r>
    </w:p>
    <w:p>
      <w:pPr>
        <w:pStyle w:val="Heading1"/>
      </w:pPr>
      <w:r>
        <w:rPr>
          <w:rFonts w:ascii="Times New Roman" w:cs="Times New Roman" w:eastAsia="Times New Roman" w:hAnsi="Times New Roman"/>
          <w:b/>
          <w:bCs/>
          <w:sz w:val="28"/>
          <w:szCs w:val="28"/>
        </w:rPr>
        <w:t xml:space="preserve">8.  Predictions and Falsification</w:t>
      </w:r>
    </w:p>
    <w:p>
      <w:pPr>
        <w:pStyle w:val="Heading2"/>
      </w:pPr>
      <w:r>
        <w:rPr>
          <w:rFonts w:ascii="Times New Roman" w:cs="Times New Roman" w:eastAsia="Times New Roman" w:hAnsi="Times New Roman"/>
          <w:b/>
          <w:bCs/>
          <w:sz w:val="26"/>
          <w:szCs w:val="26"/>
        </w:rPr>
        <w:t xml:space="preserve">8.1  Structural Predictions (shared with canonical quintessence)</w:t>
      </w:r>
    </w:p>
    <w:p>
      <w:pPr>
        <w:spacing w:after="120" w:line="276"/>
      </w:pPr>
      <w:r>
        <w:rPr>
          <w:rFonts w:ascii="Times New Roman" w:cs="Times New Roman" w:eastAsia="Times New Roman" w:hAnsi="Times New Roman"/>
          <w:b/>
          <w:bCs/>
          <w:sz w:val="24"/>
          <w:szCs w:val="24"/>
        </w:rPr>
        <w:t xml:space="preserve">(S1) </w:t>
      </w:r>
      <w:r>
        <w:rPr>
          <w:rFonts w:ascii="Times New Roman" w:cs="Times New Roman" w:eastAsia="Times New Roman" w:hAnsi="Times New Roman"/>
          <w:sz w:val="24"/>
          <w:szCs w:val="24"/>
        </w:rPr>
        <w:t xml:space="preserve">w(z) ≥ –1. </w:t>
      </w:r>
      <w:r>
        <w:rPr>
          <w:rFonts w:ascii="Times New Roman" w:cs="Times New Roman" w:eastAsia="Times New Roman" w:hAnsi="Times New Roman"/>
          <w:b/>
          <w:bCs/>
          <w:sz w:val="24"/>
          <w:szCs w:val="24"/>
        </w:rPr>
        <w:t xml:space="preserve">(S2) </w:t>
      </w:r>
      <w:r>
        <w:rPr>
          <w:rFonts w:ascii="Times New Roman" w:cs="Times New Roman" w:eastAsia="Times New Roman" w:hAnsi="Times New Roman"/>
          <w:sz w:val="24"/>
          <w:szCs w:val="24"/>
        </w:rPr>
        <w:t xml:space="preserve">η = 1 exactly. </w:t>
      </w:r>
      <w:r>
        <w:rPr>
          <w:rFonts w:ascii="Times New Roman" w:cs="Times New Roman" w:eastAsia="Times New Roman" w:hAnsi="Times New Roman"/>
          <w:b/>
          <w:bCs/>
          <w:sz w:val="24"/>
          <w:szCs w:val="24"/>
        </w:rPr>
        <w:t xml:space="preserve">(S3) </w:t>
      </w:r>
      <w:r>
        <w:rPr>
          <w:rFonts w:ascii="Times New Roman" w:cs="Times New Roman" w:eastAsia="Times New Roman" w:hAnsi="Times New Roman"/>
          <w:sz w:val="24"/>
          <w:szCs w:val="24"/>
        </w:rPr>
        <w:t xml:space="preserve">Scale-independent growth. </w:t>
      </w:r>
      <w:r>
        <w:rPr>
          <w:rFonts w:ascii="Times New Roman" w:cs="Times New Roman" w:eastAsia="Times New Roman" w:hAnsi="Times New Roman"/>
          <w:b/>
          <w:bCs/>
          <w:sz w:val="24"/>
          <w:szCs w:val="24"/>
        </w:rPr>
        <w:t xml:space="preserve">(S4) </w:t>
      </w:r>
      <w:r>
        <w:rPr>
          <w:rFonts w:ascii="Times New Roman" w:cs="Times New Roman" w:eastAsia="Times New Roman" w:hAnsi="Times New Roman"/>
          <w:sz w:val="24"/>
          <w:szCs w:val="24"/>
        </w:rPr>
        <w:t xml:space="preserve">cₛ² = 1.</w:t>
      </w:r>
    </w:p>
    <w:p>
      <w:pPr>
        <w:pStyle w:val="Heading2"/>
      </w:pPr>
      <w:r>
        <w:rPr>
          <w:rFonts w:ascii="Times New Roman" w:cs="Times New Roman" w:eastAsia="Times New Roman" w:hAnsi="Times New Roman"/>
          <w:b/>
          <w:bCs/>
          <w:sz w:val="26"/>
          <w:szCs w:val="26"/>
        </w:rPr>
        <w:t xml:space="preserve">8.2  Shape Predictions (specific to Starobinsky form)</w:t>
      </w:r>
    </w:p>
    <w:p>
      <w:pPr>
        <w:spacing w:after="120" w:line="276"/>
      </w:pPr>
      <w:r>
        <w:rPr>
          <w:rFonts w:ascii="Times New Roman" w:cs="Times New Roman" w:eastAsia="Times New Roman" w:hAnsi="Times New Roman"/>
          <w:b/>
          <w:bCs/>
          <w:sz w:val="24"/>
          <w:szCs w:val="24"/>
        </w:rPr>
        <w:t xml:space="preserve">(P1) </w:t>
      </w:r>
      <w:r>
        <w:rPr>
          <w:rFonts w:ascii="Times New Roman" w:cs="Times New Roman" w:eastAsia="Times New Roman" w:hAnsi="Times New Roman"/>
          <w:sz w:val="24"/>
          <w:szCs w:val="24"/>
        </w:rPr>
        <w:t xml:space="preserve">Thawing coefficient p = 1.30 in wₐ ≈ –p(1 + w₀). Testable: DESI + Euclid combined, σ(wₐ) ≈ 0.07.</w:t>
      </w:r>
    </w:p>
    <w:p>
      <w:pPr>
        <w:spacing w:after="120" w:line="276"/>
      </w:pPr>
      <w:r>
        <w:rPr>
          <w:rFonts w:ascii="Times New Roman" w:cs="Times New Roman" w:eastAsia="Times New Roman" w:hAnsi="Times New Roman"/>
          <w:b/>
          <w:bCs/>
          <w:sz w:val="24"/>
          <w:szCs w:val="24"/>
        </w:rPr>
        <w:t xml:space="preserve">(P2) </w:t>
      </w:r>
      <w:r>
        <w:rPr>
          <w:rFonts w:ascii="Times New Roman" w:cs="Times New Roman" w:eastAsia="Times New Roman" w:hAnsi="Times New Roman"/>
          <w:sz w:val="24"/>
          <w:szCs w:val="24"/>
        </w:rPr>
        <w:t xml:space="preserve">w(a) curvature w₂ = –0.06 beyond CPL. Testable: post-Euclid era.</w:t>
      </w:r>
    </w:p>
    <w:p>
      <w:pPr>
        <w:spacing w:after="120" w:line="276"/>
      </w:pPr>
      <w:r>
        <w:rPr>
          <w:rFonts w:ascii="Times New Roman" w:cs="Times New Roman" w:eastAsia="Times New Roman" w:hAnsi="Times New Roman"/>
          <w:b/>
          <w:bCs/>
          <w:sz w:val="24"/>
          <w:szCs w:val="24"/>
        </w:rPr>
        <w:t xml:space="preserve">(P3) </w:t>
      </w:r>
      <w:r>
        <w:rPr>
          <w:rFonts w:ascii="Times New Roman" w:cs="Times New Roman" w:eastAsia="Times New Roman" w:hAnsi="Times New Roman"/>
          <w:sz w:val="24"/>
          <w:szCs w:val="24"/>
        </w:rPr>
        <w:t xml:space="preserve">σ₈ shifted toward lensing-preferred values. Observed in the present CLASS implementation for Nᵢ = 2.7.</w:t>
      </w:r>
    </w:p>
    <w:p>
      <w:pPr>
        <w:pStyle w:val="Heading2"/>
      </w:pPr>
      <w:r>
        <w:rPr>
          <w:rFonts w:ascii="Times New Roman" w:cs="Times New Roman" w:eastAsia="Times New Roman" w:hAnsi="Times New Roman"/>
          <w:b/>
          <w:bCs/>
          <w:sz w:val="26"/>
          <w:szCs w:val="26"/>
        </w:rPr>
        <w:t xml:space="preserve">8.3  Falsification Conditions</w:t>
      </w:r>
    </w:p>
    <w:p>
      <w:pPr>
        <w:spacing w:after="120" w:line="276"/>
      </w:pPr>
      <w:r>
        <w:rPr>
          <w:rFonts w:ascii="Times New Roman" w:cs="Times New Roman" w:eastAsia="Times New Roman" w:hAnsi="Times New Roman"/>
          <w:b/>
          <w:bCs/>
          <w:sz w:val="24"/>
          <w:szCs w:val="24"/>
        </w:rPr>
        <w:t xml:space="preserve">(F1) </w:t>
      </w:r>
      <w:r>
        <w:rPr>
          <w:rFonts w:ascii="Times New Roman" w:cs="Times New Roman" w:eastAsia="Times New Roman" w:hAnsi="Times New Roman"/>
          <w:sz w:val="24"/>
          <w:szCs w:val="24"/>
        </w:rPr>
        <w:t xml:space="preserve">w &lt; –1 definitively measured at any z rules out the minimal model.</w:t>
      </w:r>
    </w:p>
    <w:p>
      <w:pPr>
        <w:spacing w:after="120" w:line="276"/>
      </w:pPr>
      <w:r>
        <w:rPr>
          <w:rFonts w:ascii="Times New Roman" w:cs="Times New Roman" w:eastAsia="Times New Roman" w:hAnsi="Times New Roman"/>
          <w:b/>
          <w:bCs/>
          <w:sz w:val="24"/>
          <w:szCs w:val="24"/>
        </w:rPr>
        <w:t xml:space="preserve">(F2) </w:t>
      </w:r>
      <w:r>
        <w:rPr>
          <w:rFonts w:ascii="Times New Roman" w:cs="Times New Roman" w:eastAsia="Times New Roman" w:hAnsi="Times New Roman"/>
          <w:sz w:val="24"/>
          <w:szCs w:val="24"/>
        </w:rPr>
        <w:t xml:space="preserve">η ≠ 1 at high significance favors modified gravity over canonical scalar.</w:t>
      </w:r>
    </w:p>
    <w:p>
      <w:pPr>
        <w:spacing w:after="120" w:line="276"/>
      </w:pPr>
      <w:r>
        <w:rPr>
          <w:rFonts w:ascii="Times New Roman" w:cs="Times New Roman" w:eastAsia="Times New Roman" w:hAnsi="Times New Roman"/>
          <w:b/>
          <w:bCs/>
          <w:sz w:val="24"/>
          <w:szCs w:val="24"/>
        </w:rPr>
        <w:t xml:space="preserve">(F3) </w:t>
      </w:r>
      <w:r>
        <w:rPr>
          <w:rFonts w:ascii="Times New Roman" w:cs="Times New Roman" w:eastAsia="Times New Roman" w:hAnsi="Times New Roman"/>
          <w:sz w:val="24"/>
          <w:szCs w:val="24"/>
        </w:rPr>
        <w:t xml:space="preserve">Scale-dependent growth favors f(R)-type models.</w:t>
      </w:r>
    </w:p>
    <w:p>
      <w:pPr>
        <w:spacing w:after="120" w:line="276"/>
      </w:pPr>
      <w:r>
        <w:rPr>
          <w:rFonts w:ascii="Times New Roman" w:cs="Times New Roman" w:eastAsia="Times New Roman" w:hAnsi="Times New Roman"/>
          <w:b/>
          <w:bCs/>
          <w:sz w:val="24"/>
          <w:szCs w:val="24"/>
        </w:rPr>
        <w:t xml:space="preserve">(F4) </w:t>
      </w:r>
      <w:r>
        <w:rPr>
          <w:rFonts w:ascii="Times New Roman" w:cs="Times New Roman" w:eastAsia="Times New Roman" w:hAnsi="Times New Roman"/>
          <w:sz w:val="24"/>
          <w:szCs w:val="24"/>
        </w:rPr>
        <w:t xml:space="preserve">p outside [0.8, 1.8] inconsistent with Starobinsky shape.</w:t>
      </w:r>
    </w:p>
    <w:p>
      <w:pPr>
        <w:spacing w:after="120" w:line="276"/>
      </w:pPr>
      <w:r>
        <w:rPr>
          <w:rFonts w:ascii="Times New Roman" w:cs="Times New Roman" w:eastAsia="Times New Roman" w:hAnsi="Times New Roman"/>
          <w:b/>
          <w:bCs/>
          <w:sz w:val="24"/>
          <w:szCs w:val="24"/>
        </w:rPr>
        <w:t xml:space="preserve">(F5) </w:t>
      </w:r>
      <w:r>
        <w:rPr>
          <w:rFonts w:ascii="Times New Roman" w:cs="Times New Roman" w:eastAsia="Times New Roman" w:hAnsi="Times New Roman"/>
          <w:sz w:val="24"/>
          <w:szCs w:val="24"/>
        </w:rPr>
        <w:t xml:space="preserve">w = –1 exactly (σ &lt; 0.01) at multiple z implies ΛCDM, not thawing.</w:t>
      </w:r>
    </w:p>
    <w:p>
      <w:pPr>
        <w:pStyle w:val="Heading2"/>
      </w:pPr>
      <w:r>
        <w:rPr>
          <w:rFonts w:ascii="Times New Roman" w:cs="Times New Roman" w:eastAsia="Times New Roman" w:hAnsi="Times New Roman"/>
          <w:b/>
          <w:bCs/>
          <w:sz w:val="26"/>
          <w:szCs w:val="26"/>
        </w:rPr>
        <w:t xml:space="preserve">8.4  Timeline</w:t>
      </w:r>
    </w:p>
    <w:p>
      <w:pPr>
        <w:spacing w:after="120" w:line="276"/>
      </w:pPr>
      <w:r>
        <w:rPr>
          <w:rFonts w:ascii="Times New Roman" w:cs="Times New Roman" w:eastAsia="Times New Roman" w:hAnsi="Times New Roman"/>
          <w:sz w:val="24"/>
          <w:szCs w:val="24"/>
        </w:rPr>
        <w:t xml:space="preserve">Euclid DR1 (October 2026): preliminary η. DESI full survey (2027–2028): tightened w₀, wₐ → p testable. Euclid DR2 (March 2029): η at ~5%, decisive for slip prediction. Combined DESI + Euclid + Rubin (~2030): all predictions testable.</w:t>
      </w:r>
    </w:p>
    <w:p>
      <w:r>
        <w:br w:type="page"/>
      </w:r>
    </w:p>
    <w:p>
      <w:pPr>
        <w:pStyle w:val="Heading1"/>
      </w:pPr>
      <w:r>
        <w:rPr>
          <w:rFonts w:ascii="Times New Roman" w:cs="Times New Roman" w:eastAsia="Times New Roman" w:hAnsi="Times New Roman"/>
          <w:b/>
          <w:bCs/>
          <w:sz w:val="28"/>
          <w:szCs w:val="28"/>
        </w:rPr>
        <w:t xml:space="preserve">9.  Discussion</w:t>
      </w:r>
    </w:p>
    <w:p>
      <w:pPr>
        <w:pStyle w:val="Heading2"/>
      </w:pPr>
      <w:r>
        <w:rPr>
          <w:rFonts w:ascii="Times New Roman" w:cs="Times New Roman" w:eastAsia="Times New Roman" w:hAnsi="Times New Roman"/>
          <w:b/>
          <w:bCs/>
          <w:sz w:val="26"/>
          <w:szCs w:val="26"/>
        </w:rPr>
        <w:t xml:space="preserve">9.1  Physical Interpretation</w:t>
      </w:r>
    </w:p>
    <w:p>
      <w:pPr>
        <w:spacing w:after="120" w:line="276"/>
      </w:pPr>
      <w:r>
        <w:rPr>
          <w:rFonts w:ascii="Times New Roman" w:cs="Times New Roman" w:eastAsia="Times New Roman" w:hAnsi="Times New Roman"/>
          <w:sz w:val="24"/>
          <w:szCs w:val="24"/>
        </w:rPr>
        <w:t xml:space="preserve">The field N is interpreted as a completion deficit: a measure of how far spacetime is from a de Sitter vacuum state. This connects to the thermodynamic approach to gravity [7, 8] where Einstein’s equations emerge from entropy maximization on null surfaces. Dark energy in this picture is a residual free-energy gradient of incomplete thermodynamic relaxation. This interpretation motivates the potential shape but the observational predictions are independent of it.</w:t>
      </w:r>
    </w:p>
    <w:p>
      <w:pPr>
        <w:pStyle w:val="Heading2"/>
      </w:pPr>
      <w:r>
        <w:rPr>
          <w:rFonts w:ascii="Times New Roman" w:cs="Times New Roman" w:eastAsia="Times New Roman" w:hAnsi="Times New Roman"/>
          <w:b/>
          <w:bCs/>
          <w:sz w:val="26"/>
          <w:szCs w:val="26"/>
        </w:rPr>
        <w:t xml:space="preserve">9.2  Relation to Inflation</w:t>
      </w:r>
    </w:p>
    <w:p>
      <w:pPr>
        <w:spacing w:after="120" w:line="276"/>
      </w:pPr>
      <w:r>
        <w:rPr>
          <w:rFonts w:ascii="Times New Roman" w:cs="Times New Roman" w:eastAsia="Times New Roman" w:hAnsi="Times New Roman"/>
          <w:sz w:val="24"/>
          <w:szCs w:val="24"/>
        </w:rPr>
        <w:t xml:space="preserve">The potential has the same functional form as the Starobinsky inflationary potential. On the large-N plateau it supports standard slow-roll with nₛ ≈ 1 – 2/Nₑ and r ≈ 12/Nₑ². This is a structural shape connection, not a full inflation–dark-energy unification. The energy scale hierarchy (~10¹¹²) between the two epochs remains open.</w:t>
      </w:r>
    </w:p>
    <w:p>
      <w:pPr>
        <w:pStyle w:val="Heading2"/>
      </w:pPr>
      <w:r>
        <w:rPr>
          <w:rFonts w:ascii="Times New Roman" w:cs="Times New Roman" w:eastAsia="Times New Roman" w:hAnsi="Times New Roman"/>
          <w:b/>
          <w:bCs/>
          <w:sz w:val="26"/>
          <w:szCs w:val="26"/>
        </w:rPr>
        <w:t xml:space="preserve">9.3  Limitations</w:t>
      </w:r>
    </w:p>
    <w:p>
      <w:pPr>
        <w:spacing w:after="120" w:line="276"/>
      </w:pPr>
      <w:r>
        <w:rPr>
          <w:rFonts w:ascii="Times New Roman" w:cs="Times New Roman" w:eastAsia="Times New Roman" w:hAnsi="Times New Roman"/>
          <w:sz w:val="24"/>
          <w:szCs w:val="24"/>
        </w:rPr>
        <w:t xml:space="preserve">(i) Nᵢ is a free parameter whose physical value is not derived. (ii) The age at Nᵢ = 2.7 (13.40 Gyr) is ~360 Myr below the Planck value, requiring investigation. (iii) The DESI-matching branch (w₀ ~ –0.5) has not been reached in CLASS due to shooting convergence issues for Nᵢ &lt; 2.5. (iv) The completion-deficit interpretation is motivated, not derived. (v) Full MCMC likelihood analysis against Planck + DESI + DES chains has not been performed. (vi) The fixed potential shape is identified with R² gravity, not derived from the completion-deficit postulate.</w:t>
      </w:r>
    </w:p>
    <w:p>
      <w:r>
        <w:br w:type="page"/>
      </w:r>
    </w:p>
    <w:p>
      <w:pPr>
        <w:pStyle w:val="Heading1"/>
      </w:pPr>
      <w:r>
        <w:rPr>
          <w:rFonts w:ascii="Times New Roman" w:cs="Times New Roman" w:eastAsia="Times New Roman" w:hAnsi="Times New Roman"/>
          <w:b/>
          <w:bCs/>
          <w:sz w:val="28"/>
          <w:szCs w:val="28"/>
        </w:rPr>
        <w:t xml:space="preserve">10.  Conclusion</w:t>
      </w:r>
    </w:p>
    <w:p>
      <w:pPr>
        <w:spacing w:after="120" w:line="276"/>
      </w:pPr>
      <w:r>
        <w:rPr>
          <w:rFonts w:ascii="Times New Roman" w:cs="Times New Roman" w:eastAsia="Times New Roman" w:hAnsi="Times New Roman"/>
          <w:sz w:val="24"/>
          <w:szCs w:val="24"/>
        </w:rPr>
        <w:t xml:space="preserve">We have presented a minimal dark energy model—GR plus a canonical scalar field with a fixed-form Starobinsky potential—and run it through the CLASS Einstein–Boltzmann solver. The moderate-plateau branch (Nᵢ ≈ 2.7) yields σ₈ = 0.789 in the present implementation, equal to the DES Y6 central value, while preserving near-standard CMB background quantities. The model reduces the S₈ tension from ~3.8σ to ~1.2σ against DES Y6 in the present implementation and makes specific, falsifiable predictions: zero gravitational slip, scale-independent growth, and the thawing coefficient p = 1.30.</w:t>
      </w:r>
    </w:p>
    <w:p>
      <w:pPr>
        <w:spacing w:after="120" w:line="276"/>
      </w:pPr>
      <w:r>
        <w:rPr>
          <w:rFonts w:ascii="Times New Roman" w:cs="Times New Roman" w:eastAsia="Times New Roman" w:hAnsi="Times New Roman"/>
          <w:sz w:val="24"/>
          <w:szCs w:val="24"/>
        </w:rPr>
        <w:t xml:space="preserve">The model is approximately competitive with ΛCDM under information-criterion comparison. Its value lies not in decisively outperforming ΛCDM but in providing a physically motivated, falsifiable alternative with a constrained potential shape and a clear observational program. The completion-deficit interpretation—dark energy as incomplete thermodynamic relaxation toward a de Sitter ground state—remains a motivating physical picture whose validity the observational predictions can constrain but not resolve on their own.</w:t>
      </w:r>
    </w:p>
    <w:p>
      <w:pPr>
        <w:spacing w:after="80"/>
      </w:pPr>
    </w:p>
    <w:p>
      <w:pPr>
        <w:spacing w:after="80"/>
      </w:pPr>
    </w:p>
    <w:p>
      <w:pPr>
        <w:pStyle w:val="Heading1"/>
      </w:pPr>
      <w:r>
        <w:rPr>
          <w:rFonts w:ascii="Times New Roman" w:cs="Times New Roman" w:eastAsia="Times New Roman" w:hAnsi="Times New Roman"/>
          <w:b/>
          <w:bCs/>
          <w:sz w:val="28"/>
          <w:szCs w:val="28"/>
        </w:rPr>
        <w:t xml:space="preserve">References</w:t>
      </w:r>
    </w:p>
    <w:p>
      <w:pPr>
        <w:spacing w:after="60"/>
      </w:pPr>
      <w:r>
        <w:rPr>
          <w:rFonts w:ascii="Times New Roman" w:cs="Times New Roman" w:eastAsia="Times New Roman" w:hAnsi="Times New Roman"/>
          <w:sz w:val="20"/>
          <w:szCs w:val="20"/>
        </w:rPr>
        <w:t xml:space="preserve">[1] DESI Collaboration (2025). DR2 Results II: BAO Measurements and Cosmological Constraints. arXiv:2503.14738.</w:t>
      </w:r>
    </w:p>
    <w:p>
      <w:pPr>
        <w:spacing w:after="60"/>
      </w:pPr>
      <w:r>
        <w:rPr>
          <w:rFonts w:ascii="Times New Roman" w:cs="Times New Roman" w:eastAsia="Times New Roman" w:hAnsi="Times New Roman"/>
          <w:sz w:val="20"/>
          <w:szCs w:val="20"/>
        </w:rPr>
        <w:t xml:space="preserve">[2] Lodha et al. (2025). Extended Dark Energy analysis using DESI DR2 BAO. Phys. Rev. D.</w:t>
      </w:r>
    </w:p>
    <w:p>
      <w:pPr>
        <w:spacing w:after="60"/>
      </w:pPr>
      <w:r>
        <w:rPr>
          <w:rFonts w:ascii="Times New Roman" w:cs="Times New Roman" w:eastAsia="Times New Roman" w:hAnsi="Times New Roman"/>
          <w:sz w:val="20"/>
          <w:szCs w:val="20"/>
        </w:rPr>
        <w:t xml:space="preserve">[3] DES Collaboration (2026). DES Y6 Results: Cosmological Constraints from 3×2pt. arXiv:2601.14559.</w:t>
      </w:r>
    </w:p>
    <w:p>
      <w:pPr>
        <w:spacing w:after="60"/>
      </w:pPr>
      <w:r>
        <w:rPr>
          <w:rFonts w:ascii="Times New Roman" w:cs="Times New Roman" w:eastAsia="Times New Roman" w:hAnsi="Times New Roman"/>
          <w:sz w:val="20"/>
          <w:szCs w:val="20"/>
        </w:rPr>
        <w:t xml:space="preserve">[4] DES Collaboration (2022). DES Y3 Results. Phys. Rev. D 105, 023520.</w:t>
      </w:r>
    </w:p>
    <w:p>
      <w:pPr>
        <w:spacing w:after="60"/>
      </w:pPr>
      <w:r>
        <w:rPr>
          <w:rFonts w:ascii="Times New Roman" w:cs="Times New Roman" w:eastAsia="Times New Roman" w:hAnsi="Times New Roman"/>
          <w:sz w:val="20"/>
          <w:szCs w:val="20"/>
        </w:rPr>
        <w:t xml:space="preserve">[5] Heymans, C. et al. (2021). KiDS-1000 Cosmology. Astron. Astrophys. 646, A140.</w:t>
      </w:r>
    </w:p>
    <w:p>
      <w:pPr>
        <w:spacing w:after="60"/>
      </w:pPr>
      <w:r>
        <w:rPr>
          <w:rFonts w:ascii="Times New Roman" w:cs="Times New Roman" w:eastAsia="Times New Roman" w:hAnsi="Times New Roman"/>
          <w:sz w:val="20"/>
          <w:szCs w:val="20"/>
        </w:rPr>
        <w:t xml:space="preserve">[6] Starobinsky, A.A. (1980). A new type of isotropic cosmological models. Phys. Lett. B 91, 99.</w:t>
      </w:r>
    </w:p>
    <w:p>
      <w:pPr>
        <w:spacing w:after="60"/>
      </w:pPr>
      <w:r>
        <w:rPr>
          <w:rFonts w:ascii="Times New Roman" w:cs="Times New Roman" w:eastAsia="Times New Roman" w:hAnsi="Times New Roman"/>
          <w:sz w:val="20"/>
          <w:szCs w:val="20"/>
        </w:rPr>
        <w:t xml:space="preserve">[7] Jacobson, T. (1995). Thermodynamics of Spacetime. Phys. Rev. Lett. 75, 1260.</w:t>
      </w:r>
    </w:p>
    <w:p>
      <w:pPr>
        <w:spacing w:after="60"/>
      </w:pPr>
      <w:r>
        <w:rPr>
          <w:rFonts w:ascii="Times New Roman" w:cs="Times New Roman" w:eastAsia="Times New Roman" w:hAnsi="Times New Roman"/>
          <w:sz w:val="20"/>
          <w:szCs w:val="20"/>
        </w:rPr>
        <w:t xml:space="preserve">[8] Padmanabhan, T. (2010). Thermodynamical Aspects of Gravity. Rep. Prog. Phys. 73, 046901.</w:t>
      </w:r>
    </w:p>
    <w:p>
      <w:pPr>
        <w:spacing w:after="60"/>
      </w:pPr>
      <w:r>
        <w:rPr>
          <w:rFonts w:ascii="Times New Roman" w:cs="Times New Roman" w:eastAsia="Times New Roman" w:hAnsi="Times New Roman"/>
          <w:sz w:val="20"/>
          <w:szCs w:val="20"/>
        </w:rPr>
        <w:t xml:space="preserve">[9] Caldwell, R.R. and Linder, E.V. (2005). Limits of Quintessence. Phys. Rev. Lett. 95, 141301.</w:t>
      </w:r>
    </w:p>
    <w:p>
      <w:pPr>
        <w:spacing w:after="60"/>
      </w:pPr>
      <w:r>
        <w:rPr>
          <w:rFonts w:ascii="Times New Roman" w:cs="Times New Roman" w:eastAsia="Times New Roman" w:hAnsi="Times New Roman"/>
          <w:sz w:val="20"/>
          <w:szCs w:val="20"/>
        </w:rPr>
        <w:t xml:space="preserve">[10] Scherrer, R.J. (2008). Caldwell–Linder thawing bound. Phys. Rev. D 77, 083515.</w:t>
      </w:r>
    </w:p>
    <w:p>
      <w:pPr>
        <w:spacing w:after="60"/>
      </w:pPr>
      <w:r>
        <w:rPr>
          <w:rFonts w:ascii="Times New Roman" w:cs="Times New Roman" w:eastAsia="Times New Roman" w:hAnsi="Times New Roman"/>
          <w:sz w:val="20"/>
          <w:szCs w:val="20"/>
        </w:rPr>
        <w:t xml:space="preserve">[11] Blas, D., Lesgourgues, J. and Tram, T. (2011). CLASS Boltzmann code. JCAP 07, 034.</w:t>
      </w:r>
    </w:p>
    <w:p>
      <w:pPr>
        <w:spacing w:after="60"/>
      </w:pPr>
      <w:r>
        <w:rPr>
          <w:rFonts w:ascii="Times New Roman" w:cs="Times New Roman" w:eastAsia="Times New Roman" w:hAnsi="Times New Roman"/>
          <w:sz w:val="20"/>
          <w:szCs w:val="20"/>
        </w:rPr>
        <w:t xml:space="preserve">[12] Planck Collaboration (2020). Planck 2018 results. VI. Cosmological parameters. A&amp;A 641, A6.</w:t>
      </w:r>
    </w:p>
    <w:p>
      <w:pPr>
        <w:spacing w:after="60"/>
      </w:pPr>
      <w:r>
        <w:rPr>
          <w:rFonts w:ascii="Times New Roman" w:cs="Times New Roman" w:eastAsia="Times New Roman" w:hAnsi="Times New Roman"/>
          <w:sz w:val="20"/>
          <w:szCs w:val="20"/>
        </w:rPr>
        <w:t xml:space="preserve">[13] Hu, W. and Sawicki, I. (2007). Models of f(R) Cosmic Acceleration. Phys. Rev. D 76, 064004.</w:t>
      </w:r>
    </w:p>
    <w:p>
      <w:pPr>
        <w:spacing w:after="60"/>
      </w:pPr>
      <w:r>
        <w:rPr>
          <w:rFonts w:ascii="Times New Roman" w:cs="Times New Roman" w:eastAsia="Times New Roman" w:hAnsi="Times New Roman"/>
          <w:sz w:val="20"/>
          <w:szCs w:val="20"/>
        </w:rPr>
        <w:t xml:space="preserve">[14] Schwab, J. et al. (2024). Probing gravitational slip. Phys. Rev. D 109, 023533.</w:t>
      </w:r>
    </w:p>
    <w:p>
      <w:pPr>
        <w:spacing w:after="60"/>
      </w:pPr>
      <w:r>
        <w:rPr>
          <w:rFonts w:ascii="Times New Roman" w:cs="Times New Roman" w:eastAsia="Times New Roman" w:hAnsi="Times New Roman"/>
          <w:sz w:val="20"/>
          <w:szCs w:val="20"/>
        </w:rPr>
        <w:t xml:space="preserve">[15] Reyes, R. et al. (2010). Confirmation of GR on large scales. Nature 464, 256.</w:t>
      </w:r>
    </w:p>
    <w:p>
      <w:pPr>
        <w:spacing w:after="80"/>
      </w:pPr>
    </w:p>
    <w:p>
      <w:pPr>
        <w:spacing w:after="120" w:line="276"/>
      </w:pPr>
      <w:r>
        <w:rPr>
          <w:rFonts w:ascii="Arial" w:cs="Arial" w:eastAsia="Arial" w:hAnsi="Arial"/>
          <w:b/>
          <w:bCs/>
          <w:sz w:val="22"/>
          <w:szCs w:val="22"/>
        </w:rPr>
        <w:t xml:space="preserve">Acknowledgments</w:t>
      </w:r>
    </w:p>
    <w:p>
      <w:pPr>
        <w:spacing w:after="120" w:line="276"/>
      </w:pPr>
      <w:r>
        <w:rPr>
          <w:rFonts w:ascii="Times New Roman" w:cs="Times New Roman" w:eastAsia="Times New Roman" w:hAnsi="Times New Roman"/>
          <w:sz w:val="20"/>
          <w:szCs w:val="20"/>
        </w:rPr>
        <w:t xml:space="preserve">Computational assistance and mathematical development were performed in collaboration with Claude (Anthropic). The CLASS Boltzmann solver [11] was modified to implement the completion-deficit potential. All source code modifications are available upon request.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6"/>
        <w:szCs w:val="16"/>
      </w:rPr>
      <w:t xml:space="preserve">Thurlow (2026) — Completion-Deficit Dark Energy: Minimal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2026-04-06T02:18:22.396Z</dcterms:created>
  <dcterms:modified xsi:type="dcterms:W3CDTF">2026-04-06T02:18:22.397Z</dcterms:modified>
</cp:coreProperties>
</file>

<file path=docProps/custom.xml><?xml version="1.0" encoding="utf-8"?>
<Properties xmlns="http://schemas.openxmlformats.org/officeDocument/2006/custom-properties" xmlns:vt="http://schemas.openxmlformats.org/officeDocument/2006/docPropsVTypes"/>
</file>