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8"/>
          <w:color w:val="1A6B3C"/>
          <w:rFonts w:ascii="Arial" w:hAnsi="Arial" w:cs="Arial" w:eastAsia="Arial"/>
        </w:rPr>
        <w:t>anxiete</w:t>
        <w:br/>
      </w:r>
    </w:p>
    <w:p>
      <w:pPr>
        <w:pBdr>
          <w:bottom w:val="single"/>
        </w:pBdr>
      </w:pPr>
    </w:p>
    <w:p>
      <w:pPr>
        <w:spacing w:before="300" w:after="100"/>
      </w:pPr>
      <w:r>
        <w:rPr>
          <w:b w:val="on"/>
          <w:sz w:val="30"/>
          <w:color w:val="2980B9"/>
          <w:rFonts w:ascii="Arial" w:hAnsi="Arial" w:cs="Arial" w:eastAsia="Arial"/>
        </w:rPr>
        <w:t>▌ Introduction</w:t>
      </w:r>
    </w:p>
    <w:p>
      <w:pPr>
        <w:spacing w:after="120"/>
      </w:pPr>
      <w:r>
        <w:rPr>
          <w:sz w:val="24"/>
          <w:color w:val="2C3E50"/>
          <w:rFonts w:ascii="Arial" w:hAnsi="Arial" w:cs="Arial" w:eastAsia="Arial"/>
        </w:rPr>
        <w:t>Bienvenue dans notre programme de gestion de l'anxiété, conçu pour vous aider à réduire vos symptômes d'anxiété et à améliorer votre qualité de vie. Ce programme est basé sur la Thérapie Comportementale et Cognitive (TCC) et sera dispensé sur une période de 2 semaines.</w:t>
      </w:r>
    </w:p>
    <w:p>
      <w:pPr>
        <w:spacing w:before="300" w:after="100"/>
      </w:pPr>
      <w:r>
        <w:rPr>
          <w:b w:val="on"/>
          <w:sz w:val="30"/>
          <w:color w:val="27AE60"/>
          <w:rFonts w:ascii="Arial" w:hAnsi="Arial" w:cs="Arial" w:eastAsia="Arial"/>
        </w:rPr>
        <w:t>▌ Objectifs Thérapeutiques</w:t>
      </w:r>
    </w:p>
    <w:p>
      <w:pPr>
        <w:spacing w:before="300" w:after="100"/>
      </w:pPr>
      <w:r>
        <w:rPr>
          <w:b w:val="on"/>
          <w:sz w:val="30"/>
          <w:color w:val="8E44AD"/>
          <w:rFonts w:ascii="Arial" w:hAnsi="Arial" w:cs="Arial" w:eastAsia="Arial"/>
        </w:rPr>
        <w:t>▌ Reconnaissance et challenge des pensées négatives</w:t>
      </w:r>
    </w:p>
    <w:p>
      <w:pPr>
        <w:spacing w:after="120"/>
      </w:pPr>
      <w:r>
        <w:rPr>
          <w:sz w:val="24"/>
          <w:color w:val="2C3E50"/>
          <w:rFonts w:ascii="Arial" w:hAnsi="Arial" w:cs="Arial" w:eastAsia="Arial"/>
        </w:rPr>
        <w:t>Dans cette section, nous allons explorer comment les pensées négatives peuvent contribuer à l'anxiété. Vous apprendrez à identifier et à remettre en question ces pensées en utilisant des techniques de TCC, telles que la réévaluation cognitive. Vous découvrirez comment remplacer les pensées négatives par des pensées plus réalistes et positives, ce qui peut aider à réduire l'anxiété.</w:t>
      </w:r>
    </w:p>
    <w:p>
      <w:pPr>
        <w:spacing w:before="300" w:after="100"/>
      </w:pPr>
      <w:r>
        <w:rPr>
          <w:b w:val="on"/>
          <w:sz w:val="30"/>
          <w:color w:val="8E44AD"/>
          <w:rFonts w:ascii="Arial" w:hAnsi="Arial" w:cs="Arial" w:eastAsia="Arial"/>
        </w:rPr>
        <w:t>▌ Gestion des émotions et régulation du stress</w:t>
      </w:r>
    </w:p>
    <w:p>
      <w:pPr>
        <w:spacing w:after="120"/>
      </w:pPr>
      <w:r>
        <w:rPr>
          <w:sz w:val="24"/>
          <w:color w:val="2C3E50"/>
          <w:rFonts w:ascii="Arial" w:hAnsi="Arial" w:cs="Arial" w:eastAsia="Arial"/>
        </w:rPr>
        <w:t>Cette section se concentre sur la gestion des émotions et la régulation du stress. Vous apprendrez des techniques pour reconnaître et gérer vos émotions, notamment en utilisant des exercices de respiration et de relaxation. Vous découvrirez également comment pratiquer la pleine conscience pour vous aider à rester calme et centré face aux situations stressantes.</w:t>
      </w:r>
    </w:p>
    <w:p>
      <w:pPr>
        <w:spacing w:before="300" w:after="100"/>
      </w:pPr>
      <w:r>
        <w:rPr>
          <w:b w:val="on"/>
          <w:sz w:val="30"/>
          <w:color w:val="8E44AD"/>
          <w:rFonts w:ascii="Arial" w:hAnsi="Arial" w:cs="Arial" w:eastAsia="Arial"/>
        </w:rPr>
        <w:t>▌ Développement de stratégies de coping et de résilience</w:t>
      </w:r>
    </w:p>
    <w:p>
      <w:pPr>
        <w:spacing w:after="120"/>
      </w:pPr>
      <w:r>
        <w:rPr>
          <w:sz w:val="24"/>
          <w:color w:val="2C3E50"/>
          <w:rFonts w:ascii="Arial" w:hAnsi="Arial" w:cs="Arial" w:eastAsia="Arial"/>
        </w:rPr>
        <w:t>Dans cette dernière section, nous allons travailler sur le développement de stratégies de coping et de résilience pour faire face aux situations difficiles. Vous apprendrez à identifier vos forces et vos ressources personnelles, et à les utiliser pour surmonter les obstacles. Vous découvrirez également comment bâtir un réseau de soutien et comment prendre soin de vous-même pour maintenir une bonne santé mentale.</w:t>
      </w:r>
    </w:p>
    <w:p>
      <w:pPr>
        <w:spacing w:before="300" w:after="100"/>
      </w:pPr>
      <w:r>
        <w:rPr>
          <w:b w:val="on"/>
          <w:sz w:val="30"/>
          <w:color w:val="E67E22"/>
          <w:rFonts w:ascii="Arial" w:hAnsi="Arial" w:cs="Arial" w:eastAsia="Arial"/>
        </w:rPr>
        <w:t>▌ Exercices Thérapeutiques</w:t>
      </w:r>
    </w:p>
    <w:p>
      <w:pPr>
        <w:spacing w:after="120"/>
      </w:pPr>
      <w:r>
        <w:rPr>
          <w:sz w:val="24"/>
          <w:color w:val="2C3E50"/>
          <w:rFonts w:ascii="Arial" w:hAnsi="Arial" w:cs="Arial" w:eastAsia="Arial"/>
        </w:rPr>
        <w:t/>
      </w:r>
    </w:p>
    <w:p>
      <w:pPr>
        <w:spacing w:before="300" w:after="100"/>
      </w:pPr>
      <w:r>
        <w:rPr>
          <w:b w:val="on"/>
          <w:sz w:val="30"/>
          <w:color w:val="2C3E50"/>
          <w:rFonts w:ascii="Arial" w:hAnsi="Arial" w:cs="Arial" w:eastAsia="Arial"/>
        </w:rPr>
        <w:t>▌ Conclusion</w:t>
      </w:r>
    </w:p>
    <w:p>
      <w:pPr>
        <w:spacing w:after="120"/>
      </w:pPr>
      <w:r>
        <w:rPr>
          <w:sz w:val="24"/>
          <w:color w:val="2C3E50"/>
          <w:rFonts w:ascii="Arial" w:hAnsi="Arial" w:cs="Arial" w:eastAsia="Arial"/>
        </w:rPr>
        <w:t>En suivant ce programme, vous aurez acquis les outils et les techniques nécessaires pour gérer votre anxiété et améliorer votre bien-être. N'oubliez pas que la pratique régulière est la clé pour consolider vos progrès. Nous vous recommandons de continuer à pratiquer les exercices et les techniques apprises dans ce programme pour maintenir une bonne santé mentale à long terme.</w:t>
      </w:r>
    </w:p>
    <w:p>
      <w:pPr>
        <w:pBdr>
          <w:top w:val="single"/>
        </w:pBdr>
        <w:spacing w:before="400"/>
        <w:jc w:val="center"/>
      </w:pPr>
      <w:r>
        <w:rPr>
          <w:sz w:val="18"/>
          <w:color w:val="999999"/>
          <w:i w:val="on"/>
        </w:rPr>
        <w:t>MindCare — Programme généré par IA | anxiete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2026-03-01T13:14:19Z</dcterms:created>
  <dc:creator>Apache POI</dc:creator>
</cp:coreProperties>
</file>