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Where to Spend $2M: OnePlus User Behavior Analysis</w:t>
      </w:r>
    </w:p>
    <w:p>
      <w:pPr>
        <w:pBdr>
          <w:bottom w:val="single" w:color="1F3864" w:sz="8" w:space="4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Entry-level segment, Asian markets (India, Vietnam) | Metric: revenue per user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Put most of the $2M behind your heaviest-use OnePlus users and the users just below them, not broad acquisition.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 39% of OnePlus users (Behavior Class 4-5) generate roughly two-thirds of app time and data usage, and a class 5 user uses about 4x the data of a class 2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Device model explains almost nothing. OnePlus users behave like Samsung, Xiaomi and Pixel users, so spend should follow usage intensity, not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Big caveat: </w:t>
      </w:r>
      <w:r>
        <w:rPr>
          <w:rFonts w:ascii="Calibri" w:cs="Calibri" w:eastAsia="Calibri" w:hAnsi="Calibri"/>
          <w:sz w:val="22"/>
          <w:szCs w:val="22"/>
        </w:rPr>
        <w:t xml:space="preserve">The file has no revenue, geography or price-tier data, so "revenue per user" is inferred from engagement. Hold back part of the budget until you can test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What the Data Shows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file has 700 users across 5 devices, with 133 on the OnePlus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Behavior Class is the real segmentation. </w:t>
      </w:r>
      <w:r>
        <w:rPr>
          <w:rFonts w:ascii="Calibri" w:cs="Calibri" w:eastAsia="Calibri" w:hAnsi="Calibri"/>
          <w:sz w:val="22"/>
          <w:szCs w:val="22"/>
        </w:rPr>
        <w:t xml:space="preserve">Users split almost evenly across classes 1-5, and the class tracks every usage metric closely (correlation about 0.95-0.98).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Usage climbs steeply by class (OnePlus users):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 time (min/day)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(MB/day)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Apps installed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Battery (mAh/day)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1,555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554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1,896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2,706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Concentration: </w:t>
      </w:r>
      <w:r>
        <w:rPr>
          <w:rFonts w:ascii="Calibri" w:cs="Calibri" w:eastAsia="Calibri" w:hAnsi="Calibri"/>
          <w:sz w:val="22"/>
          <w:szCs w:val="22"/>
        </w:rPr>
        <w:t xml:space="preserve">OnePlus classes 4-5 are about 39% of users (52 of 133) but about 69% of app time and 67% of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OnePlus is average. </w:t>
      </w:r>
      <w:r>
        <w:rPr>
          <w:rFonts w:ascii="Calibri" w:cs="Calibri" w:eastAsia="Calibri" w:hAnsi="Calibri"/>
          <w:sz w:val="22"/>
          <w:szCs w:val="22"/>
        </w:rPr>
        <w:t xml:space="preserve">Mean class is 3.0 for OnePlus against 2.9-3.1 for the others, and 39% are heavy users against 36-42%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 and gender don't separate users. </w:t>
      </w:r>
      <w:r>
        <w:rPr>
          <w:rFonts w:ascii="Calibri" w:cs="Calibri" w:eastAsia="Calibri" w:hAnsi="Calibri"/>
          <w:sz w:val="22"/>
          <w:szCs w:val="22"/>
        </w:rPr>
        <w:t xml:space="preserve">Age has no relationship to class. Men use slightly more data than women (952 vs 862 MB/day). The 25-35 group is the lightest (class 2.7), but it is only 32 users, so don't over-read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What This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user's value likely depends on how heavily they use the phone, not on age or demographics. That points to targeting by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Heavy users are the most likely buyers of paid services and premium tiers, and the most expensive to lose. They also drain the battery the most (about 2,700 mAh/day), so they are exposed to battery-related churn.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Spreading budget evenly across all users would put about a third of it toward light users, who generate little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OnePlus 9 is a 2021 premium-leaning phone, not an entry-level one.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133 users is a thin sample, and cuts below class level are noisy.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Heavy usage doesn't automatically mean willingness to pay, especially in price-sensitive markets like India and Vietnam.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Recommendation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Action: </w:t>
      </w:r>
      <w:r>
        <w:rPr>
          <w:rFonts w:ascii="Calibri" w:cs="Calibri" w:eastAsia="Calibri" w:hAnsi="Calibri"/>
          <w:sz w:val="22"/>
          <w:szCs w:val="22"/>
        </w:rPr>
        <w:t xml:space="preserve">Run a staged $2M allocation, weighted toward heavy and near-heavy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Heavy users (class 4-5)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$1.0M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Monetization and retention: data and storage bundles, battery and charging accessories, premium service tiers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Upgraders (class 3 to 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$0.6M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Activation offers that push mid users toward heavier use (app bundles, content partnerships)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Measurement and pilot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$0.4M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Revenue-per-user tracking and a 6-8 week test in one India and one Vietnam cohort, plus the reserve to scale the winner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impact: </w:t>
      </w:r>
      <w:r>
        <w:rPr>
          <w:rFonts w:ascii="Calibri" w:cs="Calibri" w:eastAsia="Calibri" w:hAnsi="Calibri"/>
          <w:sz w:val="22"/>
          <w:szCs w:val="22"/>
        </w:rPr>
        <w:t xml:space="preserve">If the heavy segment is about 40% of users and about two-thirds of usage, even modest monetization gains there should move revenue per user more than the same dollars spread broadly. I can't give a dollar figure without revenue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risk: </w:t>
      </w:r>
      <w:r>
        <w:rPr>
          <w:rFonts w:ascii="Calibri" w:cs="Calibri" w:eastAsia="Calibri" w:hAnsi="Calibri"/>
          <w:sz w:val="22"/>
          <w:szCs w:val="22"/>
        </w:rPr>
        <w:t xml:space="preserve">Usage may not translate into spend in your target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step (this month): </w:t>
      </w:r>
      <w:r>
        <w:rPr>
          <w:rFonts w:ascii="Calibri" w:cs="Calibri" w:eastAsia="Calibri" w:hAnsi="Calibri"/>
          <w:sz w:val="22"/>
          <w:szCs w:val="22"/>
        </w:rPr>
        <w:t xml:space="preserve">Join this file to actual billing or ARPU data and tag users by market. Then confirm the class 4-5 ARPU premium before releasing the $1.0M and $0.6M tranches.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What I'm Not Sure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is missing entirely. </w:t>
      </w:r>
      <w:r>
        <w:rPr>
          <w:rFonts w:ascii="Calibri" w:cs="Calibri" w:eastAsia="Calibri" w:hAnsi="Calibri"/>
          <w:sz w:val="22"/>
          <w:szCs w:val="22"/>
        </w:rPr>
        <w:t xml:space="preserve">Engagement is my proxy for revenue per user. If ARPU doesn't rise with usage class, the recommendation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geography. </w:t>
      </w:r>
      <w:r>
        <w:rPr>
          <w:rFonts w:ascii="Calibri" w:cs="Calibri" w:eastAsia="Calibri" w:hAnsi="Calibri"/>
          <w:sz w:val="22"/>
          <w:szCs w:val="22"/>
        </w:rPr>
        <w:t xml:space="preserve">Nothing in the file isolates India, Vietnam or other Asian markets, so I extrapolated. Local price sensitivity could flip the heavy-user 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"Entry level" doesn't match the data. </w:t>
      </w:r>
      <w:r>
        <w:rPr>
          <w:rFonts w:ascii="Calibri" w:cs="Calibri" w:eastAsia="Calibri" w:hAnsi="Calibri"/>
          <w:sz w:val="22"/>
          <w:szCs w:val="22"/>
        </w:rPr>
        <w:t xml:space="preserve">The only OnePlus model is the OnePlus 9. If your entry-level line is a different model, such as the Nord series, this file may not represent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data looks unusually clean. </w:t>
      </w:r>
      <w:r>
        <w:rPr>
          <w:rFonts w:ascii="Calibri" w:cs="Calibri" w:eastAsia="Calibri" w:hAnsi="Calibri"/>
          <w:sz w:val="22"/>
          <w:szCs w:val="22"/>
        </w:rPr>
        <w:t xml:space="preserve">Classes are near-perfectly balanced and almost perfectly tied to usage, which is more tidy than real-world data usually is. If it is synthetic or a sample, treat the percentages as directional.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Small sample: </w:t>
      </w:r>
      <w:r>
        <w:rPr>
          <w:rFonts w:ascii="Calibri" w:cs="Calibri" w:eastAsia="Calibri" w:hAnsi="Calibri"/>
          <w:sz w:val="22"/>
          <w:szCs w:val="22"/>
        </w:rPr>
        <w:t xml:space="preserve">With only 133 OnePlus users, the segment shares could shift a few points on a larger sample.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would change my answer: </w:t>
      </w:r>
      <w:r>
        <w:rPr>
          <w:rFonts w:ascii="Calibri" w:cs="Calibri" w:eastAsia="Calibri" w:hAnsi="Calibri"/>
          <w:sz w:val="22"/>
          <w:szCs w:val="22"/>
        </w:rPr>
        <w:t xml:space="preserve">ARPU that is flat across classes would push money toward acquisition. A heavy-user segment concentrated in a low-spending market would push it toward cost-to-serve and retention. With revenue and market fields, this analysis can be re-run on real numbers.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2026-10-01T14:20:04.709Z</dcterms:created>
  <dcterms:modified xsi:type="dcterms:W3CDTF">2026-10-01T14:20:04.716Z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