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ROOT CAUSE ANALYSIS</w:t>
      </w:r>
    </w:p>
    <w:p>
      <w:pPr>
        <w:spacing w:after="40"/>
        <w:jc w:val="center"/>
      </w:pPr>
      <w:r>
        <w:rPr>
          <w:b/>
          <w:bCs/>
          <w:color w:val="2E5496"/>
          <w:sz w:val="26"/>
          <w:szCs w:val="26"/>
        </w:rPr>
        <w:t xml:space="preserve">Repeated Ig (Ground-Fault) Tripping of ACB 3.1</w:t>
      </w:r>
    </w:p>
    <w:p>
      <w:pPr>
        <w:spacing w:after="160"/>
        <w:jc w:val="center"/>
      </w:pPr>
      <w:r>
        <w:rPr>
          <w:i/>
          <w:iCs/>
          <w:color w:val="595959"/>
          <w:sz w:val="22"/>
          <w:szCs w:val="22"/>
        </w:rPr>
        <w:t xml:space="preserve">Bus-duct ACB on Inverter 3.1, Block-3 (ICR-3)</w:t>
      </w:r>
    </w:p>
    <w:p>
      <w:pPr>
        <w:pBdr>
          <w:bottom w:val="single" w:color="2E5496" w:sz="6" w:space="2"/>
        </w:pBdr>
        <w:spacing w:after="12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F3864" w:color="auto" w:val="clear"/>
            <w:tcMar>
              <w:top w:type="dxa" w:w="40"/>
              <w:left w:type="dxa" w:w="80"/>
              <w:bottom w:type="dxa" w:w="40"/>
              <w:right w:type="dxa" w:w="80"/>
            </w:tcMar>
          </w:tcPr>
          <w:p>
            <w:pPr>
              <w:spacing w:after="20" w:before="20"/>
            </w:pPr>
            <w:r>
              <w:rPr>
                <w:b/>
                <w:bCs/>
                <w:color w:val="FFFFFF"/>
                <w:sz w:val="20"/>
                <w:szCs w:val="20"/>
              </w:rPr>
              <w:t xml:space="preserve">Item</w:t>
            </w:r>
          </w:p>
        </w:tc>
        <w:tc>
          <w:tcPr>
            <w:tcW w:type="dxa" w:w="6760"/>
            <w:shd w:fill="1F3864" w:color="auto" w:val="clear"/>
            <w:tcMar>
              <w:top w:type="dxa" w:w="40"/>
              <w:left w:type="dxa" w:w="80"/>
              <w:bottom w:type="dxa" w:w="40"/>
              <w:right w:type="dxa" w:w="80"/>
            </w:tcMar>
          </w:tcPr>
          <w:p>
            <w:pPr>
              <w:spacing w:after="20" w:before="20"/>
            </w:pPr>
            <w:r>
              <w:rPr>
                <w:b/>
                <w:bCs/>
                <w:color w:val="FFFFFF"/>
                <w:sz w:val="20"/>
                <w:szCs w:val="20"/>
              </w:rPr>
              <w:t xml:space="preserve">Detail</w:t>
            </w:r>
          </w:p>
        </w:tc>
      </w:tr>
      <w:tr>
        <w:tc>
          <w:tcPr>
            <w:tcW w:type="dxa" w:w="2600"/>
            <w:shd w:fill="FFFFFF" w:color="auto" w:val="clear"/>
            <w:tcMar>
              <w:top w:type="dxa" w:w="40"/>
              <w:left w:type="dxa" w:w="80"/>
              <w:bottom w:type="dxa" w:w="40"/>
              <w:right w:type="dxa" w:w="80"/>
            </w:tcMar>
          </w:tcPr>
          <w:p>
            <w:pPr>
              <w:spacing w:after="20" w:before="20"/>
            </w:pPr>
            <w:r>
              <w:rPr>
                <w:b w:val="false"/>
                <w:bCs w:val="false"/>
                <w:sz w:val="20"/>
                <w:szCs w:val="20"/>
              </w:rPr>
              <w:t xml:space="preserve">Plant</w:t>
            </w:r>
          </w:p>
        </w:tc>
        <w:tc>
          <w:tcPr>
            <w:tcW w:type="dxa" w:w="6760"/>
            <w:shd w:fill="FFFFFF" w:color="auto" w:val="clear"/>
            <w:tcMar>
              <w:top w:type="dxa" w:w="40"/>
              <w:left w:type="dxa" w:w="80"/>
              <w:bottom w:type="dxa" w:w="40"/>
              <w:right w:type="dxa" w:w="80"/>
            </w:tcMar>
          </w:tcPr>
          <w:p>
            <w:pPr>
              <w:spacing w:after="20" w:before="20"/>
            </w:pPr>
            <w:r>
              <w:rPr>
                <w:b w:val="false"/>
                <w:bCs w:val="false"/>
                <w:sz w:val="20"/>
                <w:szCs w:val="20"/>
              </w:rPr>
              <w:t xml:space="preserve">Essens Renewable Pvt. Ltd. (Amplus IRU Pvt. Ltd.), Thoothukudi District, Tamil Nadu — PIN 628001</w:t>
            </w:r>
          </w:p>
        </w:tc>
      </w:tr>
      <w:tr>
        <w:tc>
          <w:tcPr>
            <w:tcW w:type="dxa" w:w="2600"/>
            <w:shd w:fill="EEF2F9" w:color="auto" w:val="clear"/>
            <w:tcMar>
              <w:top w:type="dxa" w:w="40"/>
              <w:left w:type="dxa" w:w="80"/>
              <w:bottom w:type="dxa" w:w="40"/>
              <w:right w:type="dxa" w:w="80"/>
            </w:tcMar>
          </w:tcPr>
          <w:p>
            <w:pPr>
              <w:spacing w:after="20" w:before="20"/>
            </w:pPr>
            <w:r>
              <w:rPr>
                <w:b w:val="false"/>
                <w:bCs w:val="false"/>
                <w:sz w:val="20"/>
                <w:szCs w:val="20"/>
              </w:rPr>
              <w:t xml:space="preserve">Affected equipment</w:t>
            </w:r>
          </w:p>
        </w:tc>
        <w:tc>
          <w:tcPr>
            <w:tcW w:type="dxa" w:w="6760"/>
            <w:shd w:fill="EEF2F9" w:color="auto" w:val="clear"/>
            <w:tcMar>
              <w:top w:type="dxa" w:w="40"/>
              <w:left w:type="dxa" w:w="80"/>
              <w:bottom w:type="dxa" w:w="40"/>
              <w:right w:type="dxa" w:w="80"/>
            </w:tcMar>
          </w:tcPr>
          <w:p>
            <w:pPr>
              <w:spacing w:after="20" w:before="20"/>
            </w:pPr>
            <w:r>
              <w:rPr>
                <w:b w:val="false"/>
                <w:bCs w:val="false"/>
                <w:sz w:val="20"/>
                <w:szCs w:val="20"/>
              </w:rPr>
              <w:t xml:space="preserve">Sungrow SG3125HV-32 central inverter, Unit 3.1, SN I23B1700303; associated Schneider MasterPact / Micrologic bus-duct ACB (3-pole)</w:t>
            </w:r>
          </w:p>
        </w:tc>
      </w:tr>
      <w:tr>
        <w:tc>
          <w:tcPr>
            <w:tcW w:type="dxa" w:w="2600"/>
            <w:shd w:fill="FFFFFF" w:color="auto" w:val="clear"/>
            <w:tcMar>
              <w:top w:type="dxa" w:w="40"/>
              <w:left w:type="dxa" w:w="80"/>
              <w:bottom w:type="dxa" w:w="40"/>
              <w:right w:type="dxa" w:w="80"/>
            </w:tcMar>
          </w:tcPr>
          <w:p>
            <w:pPr>
              <w:spacing w:after="20" w:before="20"/>
            </w:pPr>
            <w:r>
              <w:rPr>
                <w:b w:val="false"/>
                <w:bCs w:val="false"/>
                <w:sz w:val="20"/>
                <w:szCs w:val="20"/>
              </w:rPr>
              <w:t xml:space="preserve">Symptom</w:t>
            </w:r>
          </w:p>
        </w:tc>
        <w:tc>
          <w:tcPr>
            <w:tcW w:type="dxa" w:w="6760"/>
            <w:shd w:fill="FFFFFF" w:color="auto" w:val="clear"/>
            <w:tcMar>
              <w:top w:type="dxa" w:w="40"/>
              <w:left w:type="dxa" w:w="80"/>
              <w:bottom w:type="dxa" w:w="40"/>
              <w:right w:type="dxa" w:w="80"/>
            </w:tcMar>
          </w:tcPr>
          <w:p>
            <w:pPr>
              <w:spacing w:after="20" w:before="20"/>
            </w:pPr>
            <w:r>
              <w:rPr>
                <w:b w:val="false"/>
                <w:bCs w:val="false"/>
                <w:sz w:val="20"/>
                <w:szCs w:val="20"/>
              </w:rPr>
              <w:t xml:space="preserve">Repeated ACB tripping on “Ig” (ground / earth-fault) indication, mainly in morning hours; inverter then trips on AC over-voltage / abnormal frequency</w:t>
            </w:r>
          </w:p>
        </w:tc>
      </w:tr>
      <w:tr>
        <w:tc>
          <w:tcPr>
            <w:tcW w:type="dxa" w:w="2600"/>
            <w:shd w:fill="EEF2F9" w:color="auto" w:val="clear"/>
            <w:tcMar>
              <w:top w:type="dxa" w:w="40"/>
              <w:left w:type="dxa" w:w="80"/>
              <w:bottom w:type="dxa" w:w="40"/>
              <w:right w:type="dxa" w:w="80"/>
            </w:tcMar>
          </w:tcPr>
          <w:p>
            <w:pPr>
              <w:spacing w:after="20" w:before="20"/>
            </w:pPr>
            <w:r>
              <w:rPr>
                <w:b w:val="false"/>
                <w:bCs w:val="false"/>
                <w:sz w:val="20"/>
                <w:szCs w:val="20"/>
              </w:rPr>
              <w:t xml:space="preserve">Schneider case ref.</w:t>
            </w:r>
          </w:p>
        </w:tc>
        <w:tc>
          <w:tcPr>
            <w:tcW w:type="dxa" w:w="6760"/>
            <w:shd w:fill="EEF2F9" w:color="auto" w:val="clear"/>
            <w:tcMar>
              <w:top w:type="dxa" w:w="40"/>
              <w:left w:type="dxa" w:w="80"/>
              <w:bottom w:type="dxa" w:w="40"/>
              <w:right w:type="dxa" w:w="80"/>
            </w:tcMar>
          </w:tcPr>
          <w:p>
            <w:pPr>
              <w:spacing w:after="20" w:before="20"/>
            </w:pPr>
            <w:r>
              <w:rPr>
                <w:b w:val="false"/>
                <w:bCs w:val="false"/>
                <w:sz w:val="20"/>
                <w:szCs w:val="20"/>
              </w:rPr>
              <w:t xml:space="preserve">CC202526C13E</w:t>
            </w:r>
          </w:p>
        </w:tc>
      </w:tr>
      <w:tr>
        <w:tc>
          <w:tcPr>
            <w:tcW w:type="dxa" w:w="2600"/>
            <w:shd w:fill="FFFFFF" w:color="auto" w:val="clear"/>
            <w:tcMar>
              <w:top w:type="dxa" w:w="40"/>
              <w:left w:type="dxa" w:w="80"/>
              <w:bottom w:type="dxa" w:w="40"/>
              <w:right w:type="dxa" w:w="80"/>
            </w:tcMar>
          </w:tcPr>
          <w:p>
            <w:pPr>
              <w:spacing w:after="20" w:before="20"/>
            </w:pPr>
            <w:r>
              <w:rPr>
                <w:b w:val="false"/>
                <w:bCs w:val="false"/>
                <w:sz w:val="20"/>
                <w:szCs w:val="20"/>
              </w:rPr>
              <w:t xml:space="preserve">Prepared by</w:t>
            </w:r>
          </w:p>
        </w:tc>
        <w:tc>
          <w:tcPr>
            <w:tcW w:type="dxa" w:w="6760"/>
            <w:shd w:fill="FFFFFF" w:color="auto" w:val="clear"/>
            <w:tcMar>
              <w:top w:type="dxa" w:w="40"/>
              <w:left w:type="dxa" w:w="80"/>
              <w:bottom w:type="dxa" w:w="40"/>
              <w:right w:type="dxa" w:w="80"/>
            </w:tcMar>
          </w:tcPr>
          <w:p>
            <w:pPr>
              <w:spacing w:after="20" w:before="20"/>
            </w:pPr>
            <w:r>
              <w:rPr>
                <w:b w:val="false"/>
                <w:bCs w:val="false"/>
                <w:sz w:val="20"/>
                <w:szCs w:val="20"/>
              </w:rPr>
              <w:t xml:space="preserve">OEM / senior-engineering review (15-yr equivalent), for Essens Renewable</w:t>
            </w:r>
          </w:p>
        </w:tc>
      </w:tr>
      <w:tr>
        <w:tc>
          <w:tcPr>
            <w:tcW w:type="dxa" w:w="2600"/>
            <w:shd w:fill="EEF2F9" w:color="auto" w:val="clear"/>
            <w:tcMar>
              <w:top w:type="dxa" w:w="40"/>
              <w:left w:type="dxa" w:w="80"/>
              <w:bottom w:type="dxa" w:w="40"/>
              <w:right w:type="dxa" w:w="80"/>
            </w:tcMar>
          </w:tcPr>
          <w:p>
            <w:pPr>
              <w:spacing w:after="20" w:before="20"/>
            </w:pPr>
            <w:r>
              <w:rPr>
                <w:b w:val="false"/>
                <w:bCs w:val="false"/>
                <w:sz w:val="20"/>
                <w:szCs w:val="20"/>
              </w:rPr>
              <w:t xml:space="preserve">RCA date</w:t>
            </w:r>
          </w:p>
        </w:tc>
        <w:tc>
          <w:tcPr>
            <w:tcW w:type="dxa" w:w="6760"/>
            <w:shd w:fill="EEF2F9" w:color="auto" w:val="clear"/>
            <w:tcMar>
              <w:top w:type="dxa" w:w="40"/>
              <w:left w:type="dxa" w:w="80"/>
              <w:bottom w:type="dxa" w:w="40"/>
              <w:right w:type="dxa" w:w="80"/>
            </w:tcMar>
          </w:tcPr>
          <w:p>
            <w:pPr>
              <w:spacing w:after="20" w:before="20"/>
            </w:pPr>
            <w:r>
              <w:rPr>
                <w:b w:val="false"/>
                <w:bCs w:val="false"/>
                <w:sz w:val="20"/>
                <w:szCs w:val="20"/>
              </w:rPr>
              <w:t xml:space="preserve">16-Sep-2026</w:t>
            </w:r>
          </w:p>
        </w:tc>
      </w:tr>
      <w:tr>
        <w:tc>
          <w:tcPr>
            <w:tcW w:type="dxa" w:w="2600"/>
            <w:shd w:fill="FFFFFF" w:color="auto" w:val="clear"/>
            <w:tcMar>
              <w:top w:type="dxa" w:w="40"/>
              <w:left w:type="dxa" w:w="80"/>
              <w:bottom w:type="dxa" w:w="40"/>
              <w:right w:type="dxa" w:w="80"/>
            </w:tcMar>
          </w:tcPr>
          <w:p>
            <w:pPr>
              <w:spacing w:after="20" w:before="20"/>
            </w:pPr>
            <w:r>
              <w:rPr>
                <w:b/>
                <w:bCs/>
                <w:sz w:val="20"/>
                <w:szCs w:val="20"/>
              </w:rPr>
              <w:t xml:space="preserve">Status</w:t>
            </w:r>
          </w:p>
        </w:tc>
        <w:tc>
          <w:tcPr>
            <w:tcW w:type="dxa" w:w="6760"/>
            <w:shd w:fill="FFFFFF" w:color="auto" w:val="clear"/>
            <w:tcMar>
              <w:top w:type="dxa" w:w="40"/>
              <w:left w:type="dxa" w:w="80"/>
              <w:bottom w:type="dxa" w:w="40"/>
              <w:right w:type="dxa" w:w="80"/>
            </w:tcMar>
          </w:tcPr>
          <w:p>
            <w:pPr>
              <w:spacing w:after="20" w:before="20"/>
            </w:pPr>
            <w:r>
              <w:rPr>
                <w:b/>
                <w:bCs/>
                <w:sz w:val="20"/>
                <w:szCs w:val="20"/>
              </w:rPr>
              <w:t xml:space="preserve">Root cause identified (high confidence); field fault-location pending. Vendor request to disable Ig protection is NOT endorsed (see §7).</w:t>
            </w:r>
          </w:p>
        </w:tc>
      </w:tr>
    </w:tbl>
    <w:p>
      <w:pPr>
        <w:spacing w:after="120"/>
      </w:pPr>
    </w:p>
    <w:p>
      <w:pPr>
        <w:pStyle w:val="Heading1"/>
        <w:spacing w:after="120" w:before="240"/>
      </w:pPr>
      <w:r>
        <w:rPr>
          <w:b/>
          <w:bCs/>
          <w:color w:val="1F3864"/>
          <w:sz w:val="28"/>
          <w:szCs w:val="28"/>
        </w:rPr>
        <w:t xml:space="preserve">1.  Purpose &amp; Scope</w:t>
      </w:r>
    </w:p>
    <w:p>
      <w:pPr>
        <w:spacing w:after="100" w:line="276"/>
      </w:pPr>
      <w:r>
        <w:rPr>
          <w:b w:val="false"/>
          <w:bCs w:val="false"/>
          <w:i w:val="false"/>
          <w:iCs w:val="false"/>
          <w:sz w:val="21"/>
          <w:szCs w:val="21"/>
        </w:rPr>
        <w:t xml:space="preserve">Consolidate and independently verify the two vendor investigations — Schneider Electric (breaker OEM, 24-Jul-2026) and Sungrow (inverter OEM, 09-Sep-2026 + clarification 15-Sep-2026) — into a single root-cause position, and give a defensible engineering decision on the pending request to disable/bypass the Ig protection.</w:t>
      </w:r>
    </w:p>
    <w:p>
      <w:pPr>
        <w:spacing w:after="100" w:line="276"/>
      </w:pPr>
      <w:r>
        <w:rPr>
          <w:b w:val="false"/>
          <w:bCs w:val="false"/>
          <w:i w:val="false"/>
          <w:iCs w:val="false"/>
          <w:sz w:val="21"/>
          <w:szCs w:val="21"/>
        </w:rPr>
        <w:t xml:space="preserve">Every finding is cross-checked against at least two independent data sources and tagged </w:t>
      </w:r>
      <w:r>
        <w:rPr>
          <w:b/>
          <w:bCs/>
          <w:i w:val="false"/>
          <w:iCs w:val="false"/>
          <w:color w:val="375623"/>
          <w:sz w:val="21"/>
          <w:szCs w:val="21"/>
        </w:rPr>
        <w:t xml:space="preserve">[VERIFIED]</w:t>
      </w:r>
      <w:r>
        <w:rPr>
          <w:b w:val="false"/>
          <w:bCs w:val="false"/>
          <w:i w:val="false"/>
          <w:iCs w:val="false"/>
          <w:sz w:val="21"/>
          <w:szCs w:val="21"/>
        </w:rPr>
        <w:t xml:space="preserve"> (measured, both vendors), </w:t>
      </w:r>
      <w:r>
        <w:rPr>
          <w:b/>
          <w:bCs/>
          <w:i w:val="false"/>
          <w:iCs w:val="false"/>
          <w:color w:val="2E5496"/>
          <w:sz w:val="21"/>
          <w:szCs w:val="21"/>
        </w:rPr>
        <w:t xml:space="preserve">[INFERENCE]</w:t>
      </w:r>
      <w:r>
        <w:rPr>
          <w:b w:val="false"/>
          <w:bCs w:val="false"/>
          <w:i w:val="false"/>
          <w:iCs w:val="false"/>
          <w:sz w:val="21"/>
          <w:szCs w:val="21"/>
        </w:rPr>
        <w:t xml:space="preserve"> (engineering deduction), or </w:t>
      </w:r>
      <w:r>
        <w:rPr>
          <w:b/>
          <w:bCs/>
          <w:i w:val="false"/>
          <w:iCs w:val="false"/>
          <w:color w:val="833C00"/>
          <w:sz w:val="21"/>
          <w:szCs w:val="21"/>
        </w:rPr>
        <w:t xml:space="preserve">[OPEN]</w:t>
      </w:r>
      <w:r>
        <w:rPr>
          <w:b w:val="false"/>
          <w:bCs w:val="false"/>
          <w:i w:val="false"/>
          <w:iCs w:val="false"/>
          <w:sz w:val="21"/>
          <w:szCs w:val="21"/>
        </w:rPr>
        <w:t xml:space="preserve"> (to be confirmed in the field).</w:t>
      </w:r>
    </w:p>
    <w:p>
      <w:pPr>
        <w:pStyle w:val="Heading1"/>
        <w:spacing w:after="120" w:before="240"/>
      </w:pPr>
      <w:r>
        <w:rPr>
          <w:b/>
          <w:bCs/>
          <w:color w:val="1F3864"/>
          <w:sz w:val="28"/>
          <w:szCs w:val="28"/>
        </w:rPr>
        <w:t xml:space="preserve">2.  Evidence Base (as received)</w:t>
      </w:r>
    </w:p>
    <w:p>
      <w:pPr>
        <w:pStyle w:val="Heading2"/>
        <w:spacing w:after="80" w:before="180"/>
      </w:pPr>
      <w:r>
        <w:rPr>
          <w:b/>
          <w:bCs/>
          <w:color w:val="2E5496"/>
          <w:sz w:val="24"/>
          <w:szCs w:val="24"/>
        </w:rPr>
        <w:t xml:space="preserve">Source A — Schneider Electric, 24-Jul-2026 (returned-breaker lab analysis + PQA records, trip event 23-May-2025 13:34:02)</w:t>
      </w:r>
    </w:p>
    <w:p>
      <w:pPr>
        <w:pStyle w:val="ListParagraph"/>
        <w:numPr>
          <w:ilvl w:val="0"/>
          <w:numId w:val="2"/>
        </w:numPr>
        <w:spacing w:after="60" w:line="272"/>
      </w:pPr>
      <w:r>
        <w:rPr>
          <w:b w:val="false"/>
          <w:bCs w:val="false"/>
          <w:i w:val="false"/>
          <w:iCs w:val="false"/>
          <w:sz w:val="21"/>
          <w:szCs w:val="21"/>
        </w:rPr>
        <w:t xml:space="preserve">Breaker + Micrologic lab-tested: sensor resistance healthy; sensor-to-Micrologic wiring healthy; primary and secondary current-injection tests passed. Verdict: No Problem Found (NFP).</w:t>
      </w:r>
    </w:p>
    <w:p>
      <w:pPr>
        <w:pStyle w:val="ListParagraph"/>
        <w:numPr>
          <w:ilvl w:val="0"/>
          <w:numId w:val="2"/>
        </w:numPr>
        <w:spacing w:after="60" w:line="272"/>
      </w:pPr>
      <w:r>
        <w:rPr>
          <w:b w:val="false"/>
          <w:bCs w:val="false"/>
          <w:i w:val="false"/>
          <w:iCs w:val="false"/>
          <w:sz w:val="21"/>
          <w:szCs w:val="21"/>
        </w:rPr>
        <w:t xml:space="preserve">PQA is on the load (inverter/LV) side of the breaker. Three consecutive 250 ms samples:</w:t>
      </w:r>
    </w:p>
    <w:p>
      <w:pPr>
        <w:spacing w:after="4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750"/>
        <w:gridCol w:w="1550"/>
        <w:gridCol w:w="2000"/>
        <w:gridCol w:w="1350"/>
        <w:gridCol w:w="1250"/>
        <w:gridCol w:w="1460"/>
      </w:tblGrid>
      <w:tr>
        <w:trPr>
          <w:tblHeader/>
        </w:trPr>
        <w:tc>
          <w:tcPr>
            <w:tcW w:type="dxa" w:w="1750"/>
            <w:shd w:fill="1F3864" w:color="auto" w:val="clear"/>
            <w:tcMar>
              <w:top w:type="dxa" w:w="40"/>
              <w:left w:type="dxa" w:w="80"/>
              <w:bottom w:type="dxa" w:w="40"/>
              <w:right w:type="dxa" w:w="80"/>
            </w:tcMar>
          </w:tcPr>
          <w:p>
            <w:pPr>
              <w:spacing w:after="20" w:before="20"/>
            </w:pPr>
            <w:r>
              <w:rPr>
                <w:b/>
                <w:bCs/>
                <w:color w:val="FFFFFF"/>
                <w:sz w:val="20"/>
                <w:szCs w:val="20"/>
              </w:rPr>
              <w:t xml:space="preserve">Sample time</w:t>
            </w:r>
          </w:p>
        </w:tc>
        <w:tc>
          <w:tcPr>
            <w:tcW w:type="dxa" w:w="1550"/>
            <w:shd w:fill="1F3864" w:color="auto" w:val="clear"/>
            <w:tcMar>
              <w:top w:type="dxa" w:w="40"/>
              <w:left w:type="dxa" w:w="80"/>
              <w:bottom w:type="dxa" w:w="40"/>
              <w:right w:type="dxa" w:w="80"/>
            </w:tcMar>
          </w:tcPr>
          <w:p>
            <w:pPr>
              <w:spacing w:after="20" w:before="20"/>
            </w:pPr>
            <w:r>
              <w:rPr>
                <w:b/>
                <w:bCs/>
                <w:color w:val="FFFFFF"/>
                <w:sz w:val="20"/>
                <w:szCs w:val="20"/>
              </w:rPr>
              <w:t xml:space="preserve">State</w:t>
            </w:r>
          </w:p>
        </w:tc>
        <w:tc>
          <w:tcPr>
            <w:tcW w:type="dxa" w:w="2000"/>
            <w:shd w:fill="1F3864" w:color="auto" w:val="clear"/>
            <w:tcMar>
              <w:top w:type="dxa" w:w="40"/>
              <w:left w:type="dxa" w:w="80"/>
              <w:bottom w:type="dxa" w:w="40"/>
              <w:right w:type="dxa" w:w="80"/>
            </w:tcMar>
          </w:tcPr>
          <w:p>
            <w:pPr>
              <w:spacing w:after="20" w:before="20"/>
            </w:pPr>
            <w:r>
              <w:rPr>
                <w:b/>
                <w:bCs/>
                <w:color w:val="FFFFFF"/>
                <w:sz w:val="20"/>
                <w:szCs w:val="20"/>
              </w:rPr>
              <w:t xml:space="preserve">V (ph-ph) R/Y/B</w:t>
            </w:r>
          </w:p>
        </w:tc>
        <w:tc>
          <w:tcPr>
            <w:tcW w:type="dxa" w:w="1350"/>
            <w:shd w:fill="1F3864" w:color="auto" w:val="clear"/>
            <w:tcMar>
              <w:top w:type="dxa" w:w="40"/>
              <w:left w:type="dxa" w:w="80"/>
              <w:bottom w:type="dxa" w:w="40"/>
              <w:right w:type="dxa" w:w="80"/>
            </w:tcMar>
          </w:tcPr>
          <w:p>
            <w:pPr>
              <w:spacing w:after="20" w:before="20"/>
            </w:pPr>
            <w:r>
              <w:rPr>
                <w:b/>
                <w:bCs/>
                <w:color w:val="FFFFFF"/>
                <w:sz w:val="20"/>
                <w:szCs w:val="20"/>
              </w:rPr>
              <w:t xml:space="preserve">I /phase</w:t>
            </w:r>
          </w:p>
        </w:tc>
        <w:tc>
          <w:tcPr>
            <w:tcW w:type="dxa" w:w="1250"/>
            <w:shd w:fill="1F3864" w:color="auto" w:val="clear"/>
            <w:tcMar>
              <w:top w:type="dxa" w:w="40"/>
              <w:left w:type="dxa" w:w="80"/>
              <w:bottom w:type="dxa" w:w="40"/>
              <w:right w:type="dxa" w:w="80"/>
            </w:tcMar>
          </w:tcPr>
          <w:p>
            <w:pPr>
              <w:spacing w:after="20" w:before="20"/>
            </w:pPr>
            <w:r>
              <w:rPr>
                <w:b/>
                <w:bCs/>
                <w:color w:val="FFFFFF"/>
                <w:sz w:val="20"/>
                <w:szCs w:val="20"/>
              </w:rPr>
              <w:t xml:space="preserve">Active P</w:t>
            </w:r>
          </w:p>
        </w:tc>
        <w:tc>
          <w:tcPr>
            <w:tcW w:type="dxa" w:w="1460"/>
            <w:shd w:fill="1F3864" w:color="auto" w:val="clear"/>
            <w:tcMar>
              <w:top w:type="dxa" w:w="40"/>
              <w:left w:type="dxa" w:w="80"/>
              <w:bottom w:type="dxa" w:w="40"/>
              <w:right w:type="dxa" w:w="80"/>
            </w:tcMar>
          </w:tcPr>
          <w:p>
            <w:pPr>
              <w:spacing w:after="20" w:before="20"/>
            </w:pPr>
            <w:r>
              <w:rPr>
                <w:b/>
                <w:bCs/>
                <w:color w:val="FFFFFF"/>
                <w:sz w:val="20"/>
                <w:szCs w:val="20"/>
              </w:rPr>
              <w:t xml:space="preserve">Notable</w:t>
            </w:r>
          </w:p>
        </w:tc>
      </w:tr>
      <w:tr>
        <w:tc>
          <w:tcPr>
            <w:tcW w:type="dxa" w:w="1750"/>
            <w:shd w:fill="FFFFFF" w:color="auto" w:val="clear"/>
            <w:tcMar>
              <w:top w:type="dxa" w:w="40"/>
              <w:left w:type="dxa" w:w="80"/>
              <w:bottom w:type="dxa" w:w="40"/>
              <w:right w:type="dxa" w:w="80"/>
            </w:tcMar>
          </w:tcPr>
          <w:p>
            <w:pPr>
              <w:spacing w:after="20" w:before="20"/>
            </w:pPr>
            <w:r>
              <w:rPr>
                <w:b w:val="false"/>
                <w:bCs w:val="false"/>
                <w:sz w:val="20"/>
                <w:szCs w:val="20"/>
              </w:rPr>
              <w:t xml:space="preserve">13:34:02.088 &amp; .338</w:t>
            </w:r>
          </w:p>
        </w:tc>
        <w:tc>
          <w:tcPr>
            <w:tcW w:type="dxa" w:w="1550"/>
            <w:shd w:fill="FFFFFF" w:color="auto" w:val="clear"/>
            <w:tcMar>
              <w:top w:type="dxa" w:w="40"/>
              <w:left w:type="dxa" w:w="80"/>
              <w:bottom w:type="dxa" w:w="40"/>
              <w:right w:type="dxa" w:w="80"/>
            </w:tcMar>
          </w:tcPr>
          <w:p>
            <w:pPr>
              <w:spacing w:after="20" w:before="20"/>
            </w:pPr>
            <w:r>
              <w:rPr>
                <w:b w:val="false"/>
                <w:bCs w:val="false"/>
                <w:sz w:val="20"/>
                <w:szCs w:val="20"/>
              </w:rPr>
              <w:t xml:space="preserve">Normal</w:t>
            </w:r>
          </w:p>
        </w:tc>
        <w:tc>
          <w:tcPr>
            <w:tcW w:type="dxa" w:w="2000"/>
            <w:shd w:fill="FFFFFF" w:color="auto" w:val="clear"/>
            <w:tcMar>
              <w:top w:type="dxa" w:w="40"/>
              <w:left w:type="dxa" w:w="80"/>
              <w:bottom w:type="dxa" w:w="40"/>
              <w:right w:type="dxa" w:w="80"/>
            </w:tcMar>
          </w:tcPr>
          <w:p>
            <w:pPr>
              <w:spacing w:after="20" w:before="20"/>
            </w:pPr>
            <w:r>
              <w:rPr>
                <w:b w:val="false"/>
                <w:bCs w:val="false"/>
                <w:sz w:val="20"/>
                <w:szCs w:val="20"/>
              </w:rPr>
              <w:t xml:space="preserve">658 / 651 / 662 V</w:t>
            </w:r>
          </w:p>
        </w:tc>
        <w:tc>
          <w:tcPr>
            <w:tcW w:type="dxa" w:w="1350"/>
            <w:shd w:fill="FFFFFF" w:color="auto" w:val="clear"/>
            <w:tcMar>
              <w:top w:type="dxa" w:w="40"/>
              <w:left w:type="dxa" w:w="80"/>
              <w:bottom w:type="dxa" w:w="40"/>
              <w:right w:type="dxa" w:w="80"/>
            </w:tcMar>
          </w:tcPr>
          <w:p>
            <w:pPr>
              <w:spacing w:after="20" w:before="20"/>
            </w:pPr>
            <w:r>
              <w:rPr>
                <w:b w:val="false"/>
                <w:bCs w:val="false"/>
                <w:sz w:val="20"/>
                <w:szCs w:val="20"/>
              </w:rPr>
              <w:t xml:space="preserve">≈ 2.42 kA</w:t>
            </w:r>
          </w:p>
        </w:tc>
        <w:tc>
          <w:tcPr>
            <w:tcW w:type="dxa" w:w="1250"/>
            <w:shd w:fill="FFFFFF" w:color="auto" w:val="clear"/>
            <w:tcMar>
              <w:top w:type="dxa" w:w="40"/>
              <w:left w:type="dxa" w:w="80"/>
              <w:bottom w:type="dxa" w:w="40"/>
              <w:right w:type="dxa" w:w="80"/>
            </w:tcMar>
          </w:tcPr>
          <w:p>
            <w:pPr>
              <w:spacing w:after="20" w:before="20"/>
            </w:pPr>
            <w:r>
              <w:rPr>
                <w:b w:val="false"/>
                <w:bCs w:val="false"/>
                <w:sz w:val="20"/>
                <w:szCs w:val="20"/>
              </w:rPr>
              <w:t xml:space="preserve">≈ 2.758 MW</w:t>
            </w:r>
          </w:p>
        </w:tc>
        <w:tc>
          <w:tcPr>
            <w:tcW w:type="dxa" w:w="1460"/>
            <w:shd w:fill="FFFFFF" w:color="auto" w:val="clear"/>
            <w:tcMar>
              <w:top w:type="dxa" w:w="40"/>
              <w:left w:type="dxa" w:w="80"/>
              <w:bottom w:type="dxa" w:w="40"/>
              <w:right w:type="dxa" w:w="80"/>
            </w:tcMar>
          </w:tcPr>
          <w:p>
            <w:pPr>
              <w:spacing w:after="20" w:before="20"/>
            </w:pPr>
            <w:r>
              <w:rPr>
                <w:b w:val="false"/>
                <w:bCs w:val="false"/>
                <w:sz w:val="20"/>
                <w:szCs w:val="20"/>
              </w:rPr>
              <w:t xml:space="preserve">Stable, balanced</w:t>
            </w:r>
          </w:p>
        </w:tc>
      </w:tr>
      <w:tr>
        <w:tc>
          <w:tcPr>
            <w:tcW w:type="dxa" w:w="1750"/>
            <w:shd w:fill="EEF2F9" w:color="auto" w:val="clear"/>
            <w:tcMar>
              <w:top w:type="dxa" w:w="40"/>
              <w:left w:type="dxa" w:w="80"/>
              <w:bottom w:type="dxa" w:w="40"/>
              <w:right w:type="dxa" w:w="80"/>
            </w:tcMar>
          </w:tcPr>
          <w:p>
            <w:pPr>
              <w:spacing w:after="20" w:before="20"/>
            </w:pPr>
            <w:r>
              <w:rPr>
                <w:b w:val="false"/>
                <w:bCs w:val="false"/>
                <w:sz w:val="20"/>
                <w:szCs w:val="20"/>
              </w:rPr>
              <w:t xml:space="preserve">13:34:02.588</w:t>
            </w:r>
          </w:p>
        </w:tc>
        <w:tc>
          <w:tcPr>
            <w:tcW w:type="dxa" w:w="1550"/>
            <w:shd w:fill="EEF2F9" w:color="auto" w:val="clear"/>
            <w:tcMar>
              <w:top w:type="dxa" w:w="40"/>
              <w:left w:type="dxa" w:w="80"/>
              <w:bottom w:type="dxa" w:w="40"/>
              <w:right w:type="dxa" w:w="80"/>
            </w:tcMar>
          </w:tcPr>
          <w:p>
            <w:pPr>
              <w:spacing w:after="20" w:before="20"/>
            </w:pPr>
            <w:r>
              <w:rPr>
                <w:b/>
                <w:bCs/>
                <w:color w:val="833C00"/>
                <w:sz w:val="20"/>
                <w:szCs w:val="20"/>
              </w:rPr>
              <w:t xml:space="preserve">Disturbance</w:t>
            </w:r>
          </w:p>
        </w:tc>
        <w:tc>
          <w:tcPr>
            <w:tcW w:type="dxa" w:w="2000"/>
            <w:shd w:fill="EEF2F9" w:color="auto" w:val="clear"/>
            <w:tcMar>
              <w:top w:type="dxa" w:w="40"/>
              <w:left w:type="dxa" w:w="80"/>
              <w:bottom w:type="dxa" w:w="40"/>
              <w:right w:type="dxa" w:w="80"/>
            </w:tcMar>
          </w:tcPr>
          <w:p>
            <w:pPr>
              <w:spacing w:after="20" w:before="20"/>
            </w:pPr>
            <w:r>
              <w:rPr>
                <w:b w:val="false"/>
                <w:bCs w:val="false"/>
                <w:sz w:val="20"/>
                <w:szCs w:val="20"/>
              </w:rPr>
              <w:t xml:space="preserve">573.3 / 595.5 / 588.7 V</w:t>
            </w:r>
          </w:p>
        </w:tc>
        <w:tc>
          <w:tcPr>
            <w:tcW w:type="dxa" w:w="1350"/>
            <w:shd w:fill="EEF2F9" w:color="auto" w:val="clear"/>
            <w:tcMar>
              <w:top w:type="dxa" w:w="40"/>
              <w:left w:type="dxa" w:w="80"/>
              <w:bottom w:type="dxa" w:w="40"/>
              <w:right w:type="dxa" w:w="80"/>
            </w:tcMar>
          </w:tcPr>
          <w:p>
            <w:pPr>
              <w:spacing w:after="20" w:before="20"/>
            </w:pPr>
            <w:r>
              <w:rPr>
                <w:b w:val="false"/>
                <w:bCs w:val="false"/>
                <w:sz w:val="20"/>
                <w:szCs w:val="20"/>
              </w:rPr>
              <w:t xml:space="preserve">≈ 1.71 kA</w:t>
            </w:r>
          </w:p>
        </w:tc>
        <w:tc>
          <w:tcPr>
            <w:tcW w:type="dxa" w:w="1250"/>
            <w:shd w:fill="EEF2F9" w:color="auto" w:val="clear"/>
            <w:tcMar>
              <w:top w:type="dxa" w:w="40"/>
              <w:left w:type="dxa" w:w="80"/>
              <w:bottom w:type="dxa" w:w="40"/>
              <w:right w:type="dxa" w:w="80"/>
            </w:tcMar>
          </w:tcPr>
          <w:p>
            <w:pPr>
              <w:spacing w:after="20" w:before="20"/>
            </w:pPr>
            <w:r>
              <w:rPr>
                <w:b w:val="false"/>
                <w:bCs w:val="false"/>
                <w:sz w:val="20"/>
                <w:szCs w:val="20"/>
              </w:rPr>
              <w:t xml:space="preserve">≈ 1.379 MW</w:t>
            </w:r>
          </w:p>
        </w:tc>
        <w:tc>
          <w:tcPr>
            <w:tcW w:type="dxa" w:w="1460"/>
            <w:shd w:fill="EEF2F9" w:color="auto" w:val="clear"/>
            <w:tcMar>
              <w:top w:type="dxa" w:w="40"/>
              <w:left w:type="dxa" w:w="80"/>
              <w:bottom w:type="dxa" w:w="40"/>
              <w:right w:type="dxa" w:w="80"/>
            </w:tcMar>
          </w:tcPr>
          <w:p>
            <w:pPr>
              <w:spacing w:after="20" w:before="20"/>
            </w:pPr>
            <w:r>
              <w:rPr>
                <w:b/>
                <w:bCs/>
                <w:sz w:val="20"/>
                <w:szCs w:val="20"/>
              </w:rPr>
              <w:t xml:space="preserve">R-phase current angle −4.7° → −160° (≈155°); Y &amp; B stay ~unity-PF</w:t>
            </w:r>
          </w:p>
        </w:tc>
      </w:tr>
      <w:tr>
        <w:tc>
          <w:tcPr>
            <w:tcW w:type="dxa" w:w="1750"/>
            <w:shd w:fill="FFFFFF" w:color="auto" w:val="clear"/>
            <w:tcMar>
              <w:top w:type="dxa" w:w="40"/>
              <w:left w:type="dxa" w:w="80"/>
              <w:bottom w:type="dxa" w:w="40"/>
              <w:right w:type="dxa" w:w="80"/>
            </w:tcMar>
          </w:tcPr>
          <w:p>
            <w:pPr>
              <w:spacing w:after="20" w:before="20"/>
            </w:pPr>
            <w:r>
              <w:rPr>
                <w:b w:val="false"/>
                <w:bCs w:val="false"/>
                <w:sz w:val="20"/>
                <w:szCs w:val="20"/>
              </w:rPr>
              <w:t xml:space="preserve">13:34:02.838</w:t>
            </w:r>
          </w:p>
        </w:tc>
        <w:tc>
          <w:tcPr>
            <w:tcW w:type="dxa" w:w="1550"/>
            <w:shd w:fill="FFFFFF" w:color="auto" w:val="clear"/>
            <w:tcMar>
              <w:top w:type="dxa" w:w="40"/>
              <w:left w:type="dxa" w:w="80"/>
              <w:bottom w:type="dxa" w:w="40"/>
              <w:right w:type="dxa" w:w="80"/>
            </w:tcMar>
          </w:tcPr>
          <w:p>
            <w:pPr>
              <w:spacing w:after="20" w:before="20"/>
            </w:pPr>
            <w:r>
              <w:rPr>
                <w:b/>
                <w:bCs/>
                <w:sz w:val="20"/>
                <w:szCs w:val="20"/>
              </w:rPr>
              <w:t xml:space="preserve">Breaker open</w:t>
            </w:r>
          </w:p>
        </w:tc>
        <w:tc>
          <w:tcPr>
            <w:tcW w:type="dxa" w:w="2000"/>
            <w:shd w:fill="FFFFFF" w:color="auto" w:val="clear"/>
            <w:tcMar>
              <w:top w:type="dxa" w:w="40"/>
              <w:left w:type="dxa" w:w="80"/>
              <w:bottom w:type="dxa" w:w="40"/>
              <w:right w:type="dxa" w:w="80"/>
            </w:tcMar>
          </w:tcPr>
          <w:p>
            <w:pPr>
              <w:spacing w:after="20" w:before="20"/>
            </w:pPr>
            <w:r>
              <w:rPr>
                <w:b w:val="false"/>
                <w:bCs w:val="false"/>
                <w:sz w:val="20"/>
                <w:szCs w:val="20"/>
              </w:rPr>
              <w:t xml:space="preserve">21.15 / 20.8 / 15.65 V</w:t>
            </w:r>
          </w:p>
        </w:tc>
        <w:tc>
          <w:tcPr>
            <w:tcW w:type="dxa" w:w="1350"/>
            <w:shd w:fill="FFFFFF" w:color="auto" w:val="clear"/>
            <w:tcMar>
              <w:top w:type="dxa" w:w="40"/>
              <w:left w:type="dxa" w:w="80"/>
              <w:bottom w:type="dxa" w:w="40"/>
              <w:right w:type="dxa" w:w="80"/>
            </w:tcMar>
          </w:tcPr>
          <w:p>
            <w:pPr>
              <w:spacing w:after="20" w:before="20"/>
            </w:pPr>
            <w:r>
              <w:rPr>
                <w:b w:val="false"/>
                <w:bCs w:val="false"/>
                <w:sz w:val="20"/>
                <w:szCs w:val="20"/>
              </w:rPr>
              <w:t xml:space="preserve">≈ 0</w:t>
            </w:r>
          </w:p>
        </w:tc>
        <w:tc>
          <w:tcPr>
            <w:tcW w:type="dxa" w:w="1250"/>
            <w:shd w:fill="FFFFFF" w:color="auto" w:val="clear"/>
            <w:tcMar>
              <w:top w:type="dxa" w:w="40"/>
              <w:left w:type="dxa" w:w="80"/>
              <w:bottom w:type="dxa" w:w="40"/>
              <w:right w:type="dxa" w:w="80"/>
            </w:tcMar>
          </w:tcPr>
          <w:p>
            <w:pPr>
              <w:spacing w:after="20" w:before="20"/>
            </w:pPr>
            <w:r>
              <w:rPr>
                <w:b w:val="false"/>
                <w:bCs w:val="false"/>
                <w:sz w:val="20"/>
                <w:szCs w:val="20"/>
              </w:rPr>
              <w:t xml:space="preserve">0 MW</w:t>
            </w:r>
          </w:p>
        </w:tc>
        <w:tc>
          <w:tcPr>
            <w:tcW w:type="dxa" w:w="1460"/>
            <w:shd w:fill="FFFFFF" w:color="auto" w:val="clear"/>
            <w:tcMar>
              <w:top w:type="dxa" w:w="40"/>
              <w:left w:type="dxa" w:w="80"/>
              <w:bottom w:type="dxa" w:w="40"/>
              <w:right w:type="dxa" w:w="80"/>
            </w:tcMar>
          </w:tcPr>
          <w:p>
            <w:pPr>
              <w:spacing w:after="20" w:before="20"/>
            </w:pPr>
            <w:r>
              <w:rPr>
                <w:b w:val="false"/>
                <w:bCs w:val="false"/>
                <w:sz w:val="20"/>
                <w:szCs w:val="20"/>
              </w:rPr>
              <w:t xml:space="preserve">Circuit isolated</w:t>
            </w:r>
          </w:p>
        </w:tc>
      </w:tr>
    </w:tbl>
    <w:p>
      <w:pPr>
        <w:spacing w:after="60"/>
      </w:pPr>
    </w:p>
    <w:p>
      <w:pPr>
        <w:pStyle w:val="ListParagraph"/>
        <w:numPr>
          <w:ilvl w:val="0"/>
          <w:numId w:val="2"/>
        </w:numPr>
        <w:spacing w:after="60" w:line="272"/>
      </w:pPr>
      <w:r>
        <w:rPr>
          <w:b w:val="false"/>
          <w:bCs w:val="false"/>
          <w:i w:val="false"/>
          <w:iCs w:val="false"/>
          <w:sz w:val="21"/>
          <w:szCs w:val="21"/>
        </w:rPr>
        <w:t xml:space="preserve">Schneider mechanism: on a 3-pole breaker, Ig = vector (phasor) sum of the three phase currents; a large single-phase angle displacement makes that sum non-zero → residual current → read as a ground fault. The replacement Micrologic also logged ground current.</w:t>
      </w:r>
    </w:p>
    <w:p>
      <w:pPr>
        <w:pStyle w:val="ListParagraph"/>
        <w:numPr>
          <w:ilvl w:val="0"/>
          <w:numId w:val="2"/>
        </w:numPr>
        <w:spacing w:after="60" w:line="272"/>
      </w:pPr>
      <w:r>
        <w:rPr>
          <w:b w:val="false"/>
          <w:bCs w:val="false"/>
          <w:i w:val="false"/>
          <w:iCs w:val="false"/>
          <w:sz w:val="21"/>
          <w:szCs w:val="21"/>
        </w:rPr>
        <w:t xml:space="preserve">Schneider conclusion: a genuine Ig operation on a real system disturbance — not nuisance tripping or equipment malfunction.</w:t>
      </w:r>
    </w:p>
    <w:p>
      <w:pPr>
        <w:pStyle w:val="ListParagraph"/>
        <w:numPr>
          <w:ilvl w:val="0"/>
          <w:numId w:val="2"/>
        </w:numPr>
        <w:spacing w:after="60" w:line="272"/>
      </w:pPr>
      <w:r>
        <w:rPr>
          <w:b w:val="false"/>
          <w:bCs w:val="false"/>
          <w:i w:val="false"/>
          <w:iCs w:val="false"/>
          <w:sz w:val="21"/>
          <w:szCs w:val="21"/>
        </w:rPr>
        <w:t xml:space="preserve">Schneider suggestion: </w:t>
      </w:r>
      <w:r>
        <w:rPr>
          <w:b w:val="false"/>
          <w:bCs w:val="false"/>
          <w:i/>
          <w:iCs/>
          <w:sz w:val="21"/>
          <w:szCs w:val="21"/>
        </w:rPr>
        <w:t xml:space="preserve">“Subject to consultant approval … disable/bypass the Ig protection function …”</w:t>
      </w:r>
    </w:p>
    <w:p>
      <w:pPr>
        <w:pStyle w:val="Heading2"/>
        <w:spacing w:after="80" w:before="180"/>
      </w:pPr>
      <w:r>
        <w:rPr>
          <w:b/>
          <w:bCs/>
          <w:color w:val="2E5496"/>
          <w:sz w:val="24"/>
          <w:szCs w:val="24"/>
        </w:rPr>
        <w:t xml:space="preserve">Source B — Sungrow, 09-Sep-2026 (inverter FLR / fault records)</w:t>
      </w:r>
    </w:p>
    <w:p>
      <w:pPr>
        <w:pStyle w:val="ListParagraph"/>
        <w:numPr>
          <w:ilvl w:val="0"/>
          <w:numId w:val="2"/>
        </w:numPr>
        <w:spacing w:after="60" w:line="272"/>
      </w:pPr>
      <w:r>
        <w:rPr>
          <w:b w:val="false"/>
          <w:bCs w:val="false"/>
          <w:i w:val="false"/>
          <w:iCs w:val="false"/>
          <w:sz w:val="21"/>
          <w:szCs w:val="21"/>
        </w:rPr>
        <w:t xml:space="preserve">Inverter logged AC over-voltage, abnormal frequency, islanding and related trips.</w:t>
      </w:r>
    </w:p>
    <w:p>
      <w:pPr>
        <w:pStyle w:val="ListParagraph"/>
        <w:numPr>
          <w:ilvl w:val="0"/>
          <w:numId w:val="2"/>
        </w:numPr>
        <w:spacing w:after="60" w:line="272"/>
      </w:pPr>
      <w:r>
        <w:rPr>
          <w:b w:val="false"/>
          <w:bCs w:val="false"/>
          <w:i w:val="false"/>
          <w:iCs w:val="false"/>
          <w:sz w:val="21"/>
          <w:szCs w:val="21"/>
        </w:rPr>
        <w:t xml:space="preserve">FLR at trip: frequency dipped to ≈ 46.1 Hz; AC voltage rose to ≈ 978.5 V (Ubc), Uca ≈ 951.9 V, Uab ≈ 833.1 V — against permissible 660 V.</w:t>
      </w:r>
    </w:p>
    <w:p>
      <w:pPr>
        <w:pStyle w:val="ListParagraph"/>
        <w:numPr>
          <w:ilvl w:val="0"/>
          <w:numId w:val="2"/>
        </w:numPr>
        <w:spacing w:after="60" w:line="272"/>
      </w:pPr>
      <w:r>
        <w:rPr>
          <w:b w:val="false"/>
          <w:bCs w:val="false"/>
          <w:i w:val="false"/>
          <w:iCs w:val="false"/>
          <w:sz w:val="21"/>
          <w:szCs w:val="21"/>
        </w:rPr>
        <w:t xml:space="preserve">Sungrow observed the ACB tripped on “Ig-fault” BEFORE the inverter tripped.</w:t>
      </w:r>
    </w:p>
    <w:p>
      <w:pPr>
        <w:pStyle w:val="ListParagraph"/>
        <w:numPr>
          <w:ilvl w:val="0"/>
          <w:numId w:val="2"/>
        </w:numPr>
        <w:spacing w:after="60" w:line="272"/>
      </w:pPr>
      <w:r>
        <w:rPr>
          <w:b w:val="false"/>
          <w:bCs w:val="false"/>
          <w:i w:val="false"/>
          <w:iCs w:val="false"/>
          <w:sz w:val="21"/>
          <w:szCs w:val="21"/>
        </w:rPr>
        <w:t xml:space="preserve">Conclusion: inverter OV/frequency trips are consequential; primary cause = AC-side ground-fault → ACB Ig operation. Recommends checking AC cables, terminations, transformers, switchgear, grounding.</w:t>
      </w:r>
    </w:p>
    <w:p>
      <w:pPr>
        <w:pStyle w:val="Heading2"/>
        <w:spacing w:after="80" w:before="180"/>
      </w:pPr>
      <w:r>
        <w:rPr>
          <w:b/>
          <w:bCs/>
          <w:color w:val="2E5496"/>
          <w:sz w:val="24"/>
          <w:szCs w:val="24"/>
        </w:rPr>
        <w:t xml:space="preserve">Source C — Sungrow, 15-Sep-2026 (clarification)</w:t>
      </w:r>
    </w:p>
    <w:p>
      <w:pPr>
        <w:pStyle w:val="ListParagraph"/>
        <w:numPr>
          <w:ilvl w:val="0"/>
          <w:numId w:val="2"/>
        </w:numPr>
        <w:spacing w:after="60" w:line="272"/>
      </w:pPr>
      <w:r>
        <w:rPr>
          <w:b w:val="false"/>
          <w:bCs w:val="false"/>
          <w:i w:val="false"/>
          <w:iCs w:val="false"/>
          <w:sz w:val="21"/>
          <w:szCs w:val="21"/>
        </w:rPr>
        <w:t xml:space="preserve">Inverter is grid-following — synchronises to grid V/f and cannot itself originate a voltage rise or phase-angle change.</w:t>
      </w:r>
    </w:p>
    <w:p>
      <w:pPr>
        <w:pStyle w:val="ListParagraph"/>
        <w:numPr>
          <w:ilvl w:val="0"/>
          <w:numId w:val="2"/>
        </w:numPr>
        <w:spacing w:after="60" w:line="272"/>
      </w:pPr>
      <w:r>
        <w:rPr>
          <w:b w:val="false"/>
          <w:bCs w:val="false"/>
          <w:i w:val="false"/>
          <w:iCs w:val="false"/>
          <w:sz w:val="21"/>
          <w:szCs w:val="21"/>
        </w:rPr>
        <w:t xml:space="preserve">Event sequence confirms ACB (Ig) tripped first, inverter after.</w:t>
      </w:r>
    </w:p>
    <w:p>
      <w:pPr>
        <w:pStyle w:val="ListParagraph"/>
        <w:numPr>
          <w:ilvl w:val="0"/>
          <w:numId w:val="2"/>
        </w:numPr>
        <w:spacing w:after="60" w:line="272"/>
      </w:pPr>
      <w:r>
        <w:rPr>
          <w:b w:val="false"/>
          <w:bCs w:val="false"/>
          <w:i w:val="false"/>
          <w:iCs w:val="false"/>
          <w:sz w:val="21"/>
          <w:szCs w:val="21"/>
        </w:rPr>
        <w:t xml:space="preserve">Requests verification of the ACB protection system and grid-side circuits — Ig protection, sensing circuit, CT connections, protection settings, connected AC circuits.</w:t>
      </w:r>
    </w:p>
    <w:p>
      <w:pPr>
        <w:spacing w:after="100" w:line="276"/>
      </w:pPr>
      <w:r>
        <w:rPr>
          <w:b w:val="false"/>
          <w:bCs w:val="false"/>
          <w:i/>
          <w:iCs/>
          <w:color w:val="595959"/>
          <w:sz w:val="21"/>
          <w:szCs w:val="21"/>
        </w:rPr>
        <w:t xml:space="preserve">Site action already taken — Sungrow team, 10-Sep-2026: inspected all AC connections from inverter AC terminals up to LV side of the IDT; all found tight and satisfactory.</w:t>
      </w:r>
    </w:p>
    <w:p>
      <w:pPr>
        <w:pStyle w:val="Heading1"/>
        <w:spacing w:after="120" w:before="240"/>
      </w:pPr>
      <w:r>
        <w:rPr>
          <w:b/>
          <w:bCs/>
          <w:color w:val="1F3864"/>
          <w:sz w:val="28"/>
          <w:szCs w:val="28"/>
        </w:rPr>
        <w:t xml:space="preserve">3.  Reconstructed Event Sequence</w:t>
      </w:r>
    </w:p>
    <w:p>
      <w:pPr>
        <w:spacing w:after="100" w:line="276"/>
      </w:pPr>
      <w:r>
        <w:rPr>
          <w:b w:val="false"/>
          <w:bCs w:val="false"/>
          <w:i w:val="false"/>
          <w:iCs w:val="false"/>
          <w:sz w:val="21"/>
          <w:szCs w:val="21"/>
        </w:rPr>
        <w:t xml:space="preserve"/>
      </w:r>
      <w:r>
        <w:rPr>
          <w:b/>
          <w:bCs/>
          <w:i w:val="false"/>
          <w:iCs w:val="false"/>
          <w:color w:val="375623"/>
          <w:sz w:val="21"/>
          <w:szCs w:val="21"/>
        </w:rPr>
        <w:t xml:space="preserve">[VERIFIED]</w:t>
      </w:r>
      <w:r>
        <w:rPr>
          <w:b w:val="false"/>
          <w:bCs w:val="false"/>
          <w:i w:val="false"/>
          <w:iCs w:val="false"/>
          <w:sz w:val="21"/>
          <w:szCs w:val="21"/>
        </w:rPr>
        <w:t xml:space="preserve">  Both OEMs independently place the Ig trip first and the inverter trip second.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8660"/>
      </w:tblGrid>
      <w:tr>
        <w:trPr>
          <w:tblHeader/>
        </w:trPr>
        <w:tc>
          <w:tcPr>
            <w:tcW w:type="dxa" w:w="700"/>
            <w:shd w:fill="1F3864" w:color="auto" w:val="clear"/>
            <w:tcMar>
              <w:top w:type="dxa" w:w="40"/>
              <w:left w:type="dxa" w:w="80"/>
              <w:bottom w:type="dxa" w:w="40"/>
              <w:right w:type="dxa" w:w="80"/>
            </w:tcMar>
          </w:tcPr>
          <w:p>
            <w:pPr>
              <w:spacing w:after="20" w:before="20"/>
            </w:pPr>
            <w:r>
              <w:rPr>
                <w:b/>
                <w:bCs/>
                <w:color w:val="FFFFFF"/>
                <w:sz w:val="20"/>
                <w:szCs w:val="20"/>
              </w:rPr>
              <w:t xml:space="preserve">Step</w:t>
            </w:r>
          </w:p>
        </w:tc>
        <w:tc>
          <w:tcPr>
            <w:tcW w:type="dxa" w:w="8660"/>
            <w:shd w:fill="1F3864" w:color="auto" w:val="clear"/>
            <w:tcMar>
              <w:top w:type="dxa" w:w="40"/>
              <w:left w:type="dxa" w:w="80"/>
              <w:bottom w:type="dxa" w:w="40"/>
              <w:right w:type="dxa" w:w="80"/>
            </w:tcMar>
          </w:tcPr>
          <w:p>
            <w:pPr>
              <w:spacing w:after="20" w:before="20"/>
            </w:pPr>
            <w:r>
              <w:rPr>
                <w:b/>
                <w:bCs/>
                <w:color w:val="FFFFFF"/>
                <w:sz w:val="20"/>
                <w:szCs w:val="20"/>
              </w:rPr>
              <w:t xml:space="preserve">What happens</w:t>
            </w:r>
          </w:p>
        </w:tc>
      </w:tr>
      <w:tr>
        <w:tc>
          <w:tcPr>
            <w:tcW w:type="dxa" w:w="700"/>
            <w:shd w:fill="FFFFFF" w:color="auto" w:val="clear"/>
            <w:tcMar>
              <w:top w:type="dxa" w:w="40"/>
              <w:left w:type="dxa" w:w="80"/>
              <w:bottom w:type="dxa" w:w="40"/>
              <w:right w:type="dxa" w:w="80"/>
            </w:tcMar>
          </w:tcPr>
          <w:p>
            <w:pPr>
              <w:spacing w:after="20" w:before="20"/>
            </w:pPr>
            <w:r>
              <w:rPr>
                <w:b w:val="false"/>
                <w:bCs w:val="false"/>
                <w:sz w:val="20"/>
                <w:szCs w:val="20"/>
              </w:rPr>
              <w:t xml:space="preserve">t0</w:t>
            </w:r>
          </w:p>
        </w:tc>
        <w:tc>
          <w:tcPr>
            <w:tcW w:type="dxa" w:w="8660"/>
            <w:shd w:fill="FFFFFF" w:color="auto" w:val="clear"/>
            <w:tcMar>
              <w:top w:type="dxa" w:w="40"/>
              <w:left w:type="dxa" w:w="80"/>
              <w:bottom w:type="dxa" w:w="40"/>
              <w:right w:type="dxa" w:w="80"/>
            </w:tcMar>
          </w:tcPr>
          <w:p>
            <w:pPr>
              <w:spacing w:after="20" w:before="20"/>
            </w:pPr>
            <w:r>
              <w:rPr>
                <w:b w:val="false"/>
                <w:bCs w:val="false"/>
                <w:sz w:val="20"/>
                <w:szCs w:val="20"/>
              </w:rPr>
              <w:t xml:space="preserve">Normal export: ~660 V, ~2.42 kA, ~2.76 MW, balanced, near-unity PF.</w:t>
            </w:r>
          </w:p>
        </w:tc>
      </w:tr>
      <w:tr>
        <w:tc>
          <w:tcPr>
            <w:tcW w:type="dxa" w:w="700"/>
            <w:shd w:fill="EEF2F9" w:color="auto" w:val="clear"/>
            <w:tcMar>
              <w:top w:type="dxa" w:w="40"/>
              <w:left w:type="dxa" w:w="80"/>
              <w:bottom w:type="dxa" w:w="40"/>
              <w:right w:type="dxa" w:w="80"/>
            </w:tcMar>
          </w:tcPr>
          <w:p>
            <w:pPr>
              <w:spacing w:after="20" w:before="20"/>
            </w:pPr>
            <w:r>
              <w:rPr>
                <w:b w:val="false"/>
                <w:bCs w:val="false"/>
                <w:sz w:val="20"/>
                <w:szCs w:val="20"/>
              </w:rPr>
              <w:t xml:space="preserve">t1</w:t>
            </w:r>
          </w:p>
        </w:tc>
        <w:tc>
          <w:tcPr>
            <w:tcW w:type="dxa" w:w="8660"/>
            <w:shd w:fill="EEF2F9" w:color="auto" w:val="clear"/>
            <w:tcMar>
              <w:top w:type="dxa" w:w="40"/>
              <w:left w:type="dxa" w:w="80"/>
              <w:bottom w:type="dxa" w:w="40"/>
              <w:right w:type="dxa" w:w="80"/>
            </w:tcMar>
          </w:tcPr>
          <w:p>
            <w:pPr>
              <w:spacing w:after="20" w:before="20"/>
            </w:pPr>
            <w:r>
              <w:rPr>
                <w:b w:val="false"/>
                <w:bCs w:val="false"/>
                <w:sz w:val="20"/>
                <w:szCs w:val="20"/>
              </w:rPr>
              <w:t xml:space="preserve">AC-side disturbance on the INVERTER (load) side while ACB still CLOSED: R-phase current reverses ~155° (−4.7°→−160°), Y &amp; B stay ~normal; voltage depresses (~660→575–595 V); current &amp; power roughly halve → three phase currents asymmetric → non-zero vector sum → residual (ground) current seen by Micrologic.</w:t>
            </w:r>
          </w:p>
        </w:tc>
      </w:tr>
      <w:tr>
        <w:tc>
          <w:tcPr>
            <w:tcW w:type="dxa" w:w="700"/>
            <w:shd w:fill="FFFFFF" w:color="auto" w:val="clear"/>
            <w:tcMar>
              <w:top w:type="dxa" w:w="40"/>
              <w:left w:type="dxa" w:w="80"/>
              <w:bottom w:type="dxa" w:w="40"/>
              <w:right w:type="dxa" w:w="80"/>
            </w:tcMar>
          </w:tcPr>
          <w:p>
            <w:pPr>
              <w:spacing w:after="20" w:before="20"/>
            </w:pPr>
            <w:r>
              <w:rPr>
                <w:b w:val="false"/>
                <w:bCs w:val="false"/>
                <w:sz w:val="20"/>
                <w:szCs w:val="20"/>
              </w:rPr>
              <w:t xml:space="preserve">t2</w:t>
            </w:r>
          </w:p>
        </w:tc>
        <w:tc>
          <w:tcPr>
            <w:tcW w:type="dxa" w:w="8660"/>
            <w:shd w:fill="FFFFFF" w:color="auto" w:val="clear"/>
            <w:tcMar>
              <w:top w:type="dxa" w:w="40"/>
              <w:left w:type="dxa" w:w="80"/>
              <w:bottom w:type="dxa" w:w="40"/>
              <w:right w:type="dxa" w:w="80"/>
            </w:tcMar>
          </w:tcPr>
          <w:p>
            <w:pPr>
              <w:spacing w:after="20" w:before="20"/>
            </w:pPr>
            <w:r>
              <w:rPr>
                <w:b w:val="false"/>
                <w:bCs w:val="false"/>
                <w:sz w:val="20"/>
                <w:szCs w:val="20"/>
              </w:rPr>
              <w:t xml:space="preserve">Ig element picks up (residual &gt; Ig setting for &gt; tg delay) → ACB 3.1 OPENS.</w:t>
            </w:r>
          </w:p>
        </w:tc>
      </w:tr>
      <w:tr>
        <w:tc>
          <w:tcPr>
            <w:tcW w:type="dxa" w:w="700"/>
            <w:shd w:fill="EEF2F9" w:color="auto" w:val="clear"/>
            <w:tcMar>
              <w:top w:type="dxa" w:w="40"/>
              <w:left w:type="dxa" w:w="80"/>
              <w:bottom w:type="dxa" w:w="40"/>
              <w:right w:type="dxa" w:w="80"/>
            </w:tcMar>
          </w:tcPr>
          <w:p>
            <w:pPr>
              <w:spacing w:after="20" w:before="20"/>
            </w:pPr>
            <w:r>
              <w:rPr>
                <w:b w:val="false"/>
                <w:bCs w:val="false"/>
                <w:sz w:val="20"/>
                <w:szCs w:val="20"/>
              </w:rPr>
              <w:t xml:space="preserve">t3</w:t>
            </w:r>
          </w:p>
        </w:tc>
        <w:tc>
          <w:tcPr>
            <w:tcW w:type="dxa" w:w="8660"/>
            <w:shd w:fill="EEF2F9" w:color="auto" w:val="clear"/>
            <w:tcMar>
              <w:top w:type="dxa" w:w="40"/>
              <w:left w:type="dxa" w:w="80"/>
              <w:bottom w:type="dxa" w:w="40"/>
              <w:right w:type="dxa" w:w="80"/>
            </w:tcMar>
          </w:tcPr>
          <w:p>
            <w:pPr>
              <w:spacing w:after="20" w:before="20"/>
            </w:pPr>
            <w:r>
              <w:rPr>
                <w:b w:val="false"/>
                <w:bCs w:val="false"/>
                <w:sz w:val="20"/>
                <w:szCs w:val="20"/>
              </w:rPr>
              <w:t xml:space="preserve">Inverter suddenly ISLANDED. Grid-following inverter briefly keeps injecting into a high-impedance island → load-rejection transient: voltage overshoots to ~978 V, PLL frequency swings (~46.1 Hz).</w:t>
            </w:r>
          </w:p>
        </w:tc>
      </w:tr>
      <w:tr>
        <w:tc>
          <w:tcPr>
            <w:tcW w:type="dxa" w:w="700"/>
            <w:shd w:fill="FFFFFF" w:color="auto" w:val="clear"/>
            <w:tcMar>
              <w:top w:type="dxa" w:w="40"/>
              <w:left w:type="dxa" w:w="80"/>
              <w:bottom w:type="dxa" w:w="40"/>
              <w:right w:type="dxa" w:w="80"/>
            </w:tcMar>
          </w:tcPr>
          <w:p>
            <w:pPr>
              <w:spacing w:after="20" w:before="20"/>
            </w:pPr>
            <w:r>
              <w:rPr>
                <w:b w:val="false"/>
                <w:bCs w:val="false"/>
                <w:sz w:val="20"/>
                <w:szCs w:val="20"/>
              </w:rPr>
              <w:t xml:space="preserve">t4</w:t>
            </w:r>
          </w:p>
        </w:tc>
        <w:tc>
          <w:tcPr>
            <w:tcW w:type="dxa" w:w="8660"/>
            <w:shd w:fill="FFFFFF" w:color="auto" w:val="clear"/>
            <w:tcMar>
              <w:top w:type="dxa" w:w="40"/>
              <w:left w:type="dxa" w:w="80"/>
              <w:bottom w:type="dxa" w:w="40"/>
              <w:right w:type="dxa" w:w="80"/>
            </w:tcMar>
          </w:tcPr>
          <w:p>
            <w:pPr>
              <w:spacing w:after="20" w:before="20"/>
            </w:pPr>
            <w:r>
              <w:rPr>
                <w:b w:val="false"/>
                <w:bCs w:val="false"/>
                <w:sz w:val="20"/>
                <w:szCs w:val="20"/>
              </w:rPr>
              <w:t xml:space="preserve">Inverter AC over-voltage / abnormal-frequency / anti-islanding protection trips it a few ms later.</w:t>
            </w:r>
          </w:p>
        </w:tc>
      </w:tr>
    </w:tbl>
    <w:p>
      <w:pPr>
        <w:spacing w:after="60"/>
      </w:pPr>
    </w:p>
    <w:p>
      <w:pPr>
        <w:spacing w:after="100" w:line="276"/>
      </w:pPr>
      <w:r>
        <w:rPr>
          <w:b/>
          <w:bCs/>
          <w:i w:val="false"/>
          <w:iCs w:val="false"/>
          <w:sz w:val="21"/>
          <w:szCs w:val="21"/>
        </w:rPr>
        <w:t xml:space="preserve">The two vendors do not actually contradict each other. </w:t>
      </w:r>
      <w:r>
        <w:rPr>
          <w:b w:val="false"/>
          <w:bCs w:val="false"/>
          <w:i w:val="false"/>
          <w:iCs w:val="false"/>
          <w:sz w:val="21"/>
          <w:szCs w:val="21"/>
        </w:rPr>
        <w:t xml:space="preserve">Both place the Ig trip first. The only open point is what caused the t1 asymmetry — that is the true root cause, and it lies on the AC side, not inside the inverter or the breaker.</w:t>
      </w:r>
    </w:p>
    <w:p>
      <w:pPr>
        <w:pStyle w:val="Heading1"/>
        <w:spacing w:after="120" w:before="240"/>
      </w:pPr>
      <w:r>
        <w:rPr>
          <w:b/>
          <w:bCs/>
          <w:color w:val="1F3864"/>
          <w:sz w:val="28"/>
          <w:szCs w:val="28"/>
        </w:rPr>
        <w:t xml:space="preserve">4.  Independent Technical Verification (the “double check”)</w:t>
      </w:r>
    </w:p>
    <w:p>
      <w:pPr>
        <w:pStyle w:val="Heading2"/>
        <w:spacing w:after="80" w:before="180"/>
      </w:pPr>
      <w:r>
        <w:rPr>
          <w:b/>
          <w:bCs/>
          <w:color w:val="2E5496"/>
          <w:sz w:val="24"/>
          <w:szCs w:val="24"/>
        </w:rPr>
        <w:t xml:space="preserve">4.1  Inverter OV/frequency trip — cause or consequence?  → Consequence</w:t>
      </w:r>
    </w:p>
    <w:p>
      <w:pPr>
        <w:spacing w:after="100" w:line="276"/>
      </w:pPr>
      <w:r>
        <w:rPr>
          <w:b/>
          <w:bCs/>
          <w:i w:val="false"/>
          <w:iCs w:val="false"/>
          <w:color w:val="375623"/>
          <w:sz w:val="21"/>
          <w:szCs w:val="21"/>
        </w:rPr>
        <w:t xml:space="preserve">[VERIFIED]</w:t>
      </w:r>
    </w:p>
    <w:p>
      <w:pPr>
        <w:pStyle w:val="ListParagraph"/>
        <w:numPr>
          <w:ilvl w:val="0"/>
          <w:numId w:val="2"/>
        </w:numPr>
        <w:spacing w:after="60" w:line="272"/>
      </w:pPr>
      <w:r>
        <w:rPr>
          <w:b w:val="false"/>
          <w:bCs w:val="false"/>
          <w:i w:val="false"/>
          <w:iCs w:val="false"/>
          <w:sz w:val="21"/>
          <w:szCs w:val="21"/>
        </w:rPr>
        <w:t xml:space="preserve">PQA shows the breaker already open at 13:34:02.838; the 978 V / 46.1 Hz are the classic load-rejection / islanding transient after a grid-following inverter loses its tie.</w:t>
      </w:r>
    </w:p>
    <w:p>
      <w:pPr>
        <w:pStyle w:val="ListParagraph"/>
        <w:numPr>
          <w:ilvl w:val="0"/>
          <w:numId w:val="2"/>
        </w:numPr>
        <w:spacing w:after="60" w:line="272"/>
      </w:pPr>
      <w:r>
        <w:rPr>
          <w:b w:val="false"/>
          <w:bCs w:val="false"/>
          <w:i w:val="false"/>
          <w:iCs w:val="false"/>
          <w:sz w:val="21"/>
          <w:szCs w:val="21"/>
        </w:rPr>
        <w:t xml:space="preserve">A grid-following inverter cannot set grid V/f (Source C), so it cannot be the origin. Sustained 46.1 Hz is not physically credible (the grid would have collapsed) → it is a PLL reading during disconnection, i.e. a measurement artefact.</w:t>
      </w:r>
    </w:p>
    <w:p>
      <w:pPr>
        <w:spacing w:after="100" w:line="276"/>
      </w:pPr>
      <w:r>
        <w:rPr>
          <w:b w:val="false"/>
          <w:bCs w:val="false"/>
          <w:i/>
          <w:iCs/>
          <w:color w:val="595959"/>
          <w:sz w:val="21"/>
          <w:szCs w:val="21"/>
        </w:rPr>
        <w:t xml:space="preserve">Cross-check: Schneider PQA timeline + Sungrow grid-follower physics — two independent sources.</w:t>
      </w:r>
    </w:p>
    <w:p>
      <w:pPr>
        <w:pStyle w:val="Heading2"/>
        <w:spacing w:after="80" w:before="180"/>
      </w:pPr>
      <w:r>
        <w:rPr>
          <w:b/>
          <w:bCs/>
          <w:color w:val="2E5496"/>
          <w:sz w:val="24"/>
          <w:szCs w:val="24"/>
        </w:rPr>
        <w:t xml:space="preserve">4.2  Is the ACB / Micrologic faulty?  → No</w:t>
      </w:r>
    </w:p>
    <w:p>
      <w:pPr>
        <w:spacing w:after="100" w:line="276"/>
      </w:pPr>
      <w:r>
        <w:rPr>
          <w:b/>
          <w:bCs/>
          <w:i w:val="false"/>
          <w:iCs w:val="false"/>
          <w:color w:val="375623"/>
          <w:sz w:val="21"/>
          <w:szCs w:val="21"/>
        </w:rPr>
        <w:t xml:space="preserve">[VERIFIED]</w:t>
      </w:r>
    </w:p>
    <w:p>
      <w:pPr>
        <w:pStyle w:val="ListParagraph"/>
        <w:numPr>
          <w:ilvl w:val="0"/>
          <w:numId w:val="2"/>
        </w:numPr>
        <w:spacing w:after="60" w:line="272"/>
      </w:pPr>
      <w:r>
        <w:rPr>
          <w:b w:val="false"/>
          <w:bCs w:val="false"/>
          <w:i w:val="false"/>
          <w:iCs w:val="false"/>
          <w:sz w:val="21"/>
          <w:szCs w:val="21"/>
        </w:rPr>
        <w:t xml:space="preserve">Lab tests (resistance, wiring, primary + secondary injection) all pass; NFP.</w:t>
      </w:r>
    </w:p>
    <w:p>
      <w:pPr>
        <w:pStyle w:val="ListParagraph"/>
        <w:numPr>
          <w:ilvl w:val="0"/>
          <w:numId w:val="2"/>
        </w:numPr>
        <w:spacing w:after="60" w:line="272"/>
      </w:pPr>
      <w:r>
        <w:rPr>
          <w:b w:val="false"/>
          <w:bCs w:val="false"/>
          <w:i w:val="false"/>
          <w:iCs w:val="false"/>
          <w:sz w:val="21"/>
          <w:szCs w:val="21"/>
        </w:rPr>
        <w:t xml:space="preserve">On a MasterPact/Micrologic ACB the current sensors are built into the breaker, so they were tested with the returned unit → internal sensing proven healthy.</w:t>
      </w:r>
    </w:p>
    <w:p>
      <w:pPr>
        <w:pStyle w:val="ListParagraph"/>
        <w:numPr>
          <w:ilvl w:val="0"/>
          <w:numId w:val="2"/>
        </w:numPr>
        <w:spacing w:after="60" w:line="272"/>
      </w:pPr>
      <w:r>
        <w:rPr>
          <w:b w:val="false"/>
          <w:bCs w:val="false"/>
          <w:i w:val="false"/>
          <w:iCs w:val="false"/>
          <w:sz w:val="21"/>
          <w:szCs w:val="21"/>
        </w:rPr>
        <w:t xml:space="preserve">A second (replacement) Micrologic independently logged ground current → the residual current is real, not an artefact of one faulty trip unit.</w:t>
      </w:r>
    </w:p>
    <w:p>
      <w:pPr>
        <w:pStyle w:val="Heading2"/>
        <w:spacing w:after="80" w:before="180"/>
      </w:pPr>
      <w:r>
        <w:rPr>
          <w:b/>
          <w:bCs/>
          <w:color w:val="2E5496"/>
          <w:sz w:val="24"/>
          <w:szCs w:val="24"/>
        </w:rPr>
        <w:t xml:space="preserve">4.3  Is Schneider’s “phase-shift ⇒ residual” explanation sound?  → Yes, but only because the change was ASYMMETRIC</w:t>
      </w:r>
    </w:p>
    <w:p>
      <w:pPr>
        <w:spacing w:after="100" w:line="276"/>
      </w:pPr>
      <w:r>
        <w:rPr>
          <w:b/>
          <w:bCs/>
          <w:i w:val="false"/>
          <w:iCs w:val="false"/>
          <w:color w:val="2E5496"/>
          <w:sz w:val="21"/>
          <w:szCs w:val="21"/>
        </w:rPr>
        <w:t xml:space="preserve">[INFERENCE]</w:t>
      </w:r>
      <w:r>
        <w:rPr>
          <w:b w:val="false"/>
          <w:bCs w:val="false"/>
          <w:i w:val="false"/>
          <w:iCs w:val="false"/>
          <w:sz w:val="21"/>
          <w:szCs w:val="21"/>
        </w:rPr>
        <w:t xml:space="preserve">  (important nuance)</w:t>
      </w:r>
    </w:p>
    <w:p>
      <w:pPr>
        <w:pStyle w:val="ListParagraph"/>
        <w:numPr>
          <w:ilvl w:val="0"/>
          <w:numId w:val="2"/>
        </w:numPr>
        <w:spacing w:after="60" w:line="272"/>
      </w:pPr>
      <w:r>
        <w:rPr>
          <w:b w:val="false"/>
          <w:bCs w:val="false"/>
          <w:i w:val="false"/>
          <w:iCs w:val="false"/>
          <w:sz w:val="21"/>
          <w:szCs w:val="21"/>
        </w:rPr>
        <w:t xml:space="preserve">In a 3-wire system (inverter → LV delta, no neutral return) Kirchhoff’s law forces IR+IY+IB ≡ 0 for any balanced set, at any phase angle. A uniform rotation of all three currents can never by itself create a residual.</w:t>
      </w:r>
    </w:p>
    <w:p>
      <w:pPr>
        <w:pStyle w:val="ListParagraph"/>
        <w:numPr>
          <w:ilvl w:val="0"/>
          <w:numId w:val="2"/>
        </w:numPr>
        <w:spacing w:after="60" w:line="272"/>
      </w:pPr>
      <w:r>
        <w:rPr>
          <w:b w:val="false"/>
          <w:bCs w:val="false"/>
          <w:i w:val="false"/>
          <w:iCs w:val="false"/>
          <w:sz w:val="21"/>
          <w:szCs w:val="21"/>
        </w:rPr>
        <w:t xml:space="preserve">A non-zero residual requires a fourth (ground) return path OR a genuinely asymmetric single-phase change. The data shows the latter: only R-phase current reversed (~155°) while Y and B stayed near unity-PF.</w:t>
      </w:r>
    </w:p>
    <w:p>
      <w:pPr>
        <w:pStyle w:val="ListParagraph"/>
        <w:numPr>
          <w:ilvl w:val="0"/>
          <w:numId w:val="2"/>
        </w:numPr>
        <w:spacing w:after="60" w:line="272"/>
      </w:pPr>
      <w:r>
        <w:rPr>
          <w:b w:val="false"/>
          <w:bCs w:val="false"/>
          <w:i w:val="false"/>
          <w:iCs w:val="false"/>
          <w:sz w:val="21"/>
          <w:szCs w:val="21"/>
        </w:rPr>
        <w:t xml:space="preserve">An R-phase current that reverses while Y/B stay put is the signature of fault current flowing out on R and returning through earth — a single-line-to-ground (R-phase-to-ground) fault, </w:t>
      </w:r>
      <w:r>
        <w:rPr>
          <w:b/>
          <w:bCs/>
          <w:i w:val="false"/>
          <w:iCs w:val="false"/>
          <w:sz w:val="21"/>
          <w:szCs w:val="21"/>
        </w:rPr>
        <w:t xml:space="preserve">not a benign power-quality wobble.</w:t>
      </w:r>
    </w:p>
    <w:p>
      <w:pPr>
        <w:pStyle w:val="ListParagraph"/>
        <w:numPr>
          <w:ilvl w:val="0"/>
          <w:numId w:val="2"/>
        </w:numPr>
        <w:spacing w:after="60" w:line="272"/>
      </w:pPr>
      <w:r>
        <w:rPr>
          <w:b w:val="false"/>
          <w:bCs w:val="false"/>
          <w:i w:val="false"/>
          <w:iCs w:val="false"/>
          <w:sz w:val="21"/>
          <w:szCs w:val="21"/>
        </w:rPr>
        <w:t xml:space="preserve">Therefore the residual the Micrologic saw was almost certainly a real earth-fault current. The Ig element did its job.</w:t>
      </w:r>
    </w:p>
    <w:p>
      <w:pPr>
        <w:spacing w:after="100" w:line="276"/>
      </w:pPr>
      <w:r>
        <w:rPr>
          <w:b w:val="false"/>
          <w:bCs w:val="false"/>
          <w:i/>
          <w:iCs/>
          <w:color w:val="595959"/>
          <w:sz w:val="21"/>
          <w:szCs w:val="21"/>
        </w:rPr>
        <w:t xml:space="preserve">Cross-check: KCL on a 3-wire system + the measured per-phase angles — physics and data agree.</w:t>
      </w:r>
    </w:p>
    <w:p>
      <w:pPr>
        <w:pStyle w:val="Heading2"/>
        <w:spacing w:after="80" w:before="180"/>
      </w:pPr>
      <w:r>
        <w:rPr>
          <w:b/>
          <w:bCs/>
          <w:color w:val="2E5496"/>
          <w:sz w:val="24"/>
          <w:szCs w:val="24"/>
        </w:rPr>
        <w:t xml:space="preserve">4.4  Numerical consistency of the dataset  → Confirmed</w:t>
      </w:r>
    </w:p>
    <w:p>
      <w:pPr>
        <w:spacing w:after="100" w:line="276"/>
      </w:pPr>
      <w:r>
        <w:rPr>
          <w:b/>
          <w:bCs/>
          <w:i w:val="false"/>
          <w:iCs w:val="false"/>
          <w:color w:val="375623"/>
          <w:sz w:val="21"/>
          <w:szCs w:val="21"/>
        </w:rPr>
        <w:t xml:space="preserve">[VERIFIED]</w:t>
      </w:r>
    </w:p>
    <w:p>
      <w:pPr>
        <w:pStyle w:val="ListParagraph"/>
        <w:numPr>
          <w:ilvl w:val="0"/>
          <w:numId w:val="2"/>
        </w:numPr>
        <w:spacing w:after="60" w:line="272"/>
      </w:pPr>
      <w:r>
        <w:rPr>
          <w:b w:val="false"/>
          <w:bCs w:val="false"/>
          <w:i w:val="false"/>
          <w:iCs w:val="false"/>
          <w:sz w:val="21"/>
          <w:szCs w:val="21"/>
        </w:rPr>
        <w:t xml:space="preserve">√3 × 660 V × 2.42 kA ≈ 2.77 MVA ≈ reported 2.758 MW at near-unity PF → PQA data internally consistent and is the inverter LV output (a 3.125 MW inverter at ~2.76 MW ≈ 88 %, plausible for a clear morning).</w:t>
      </w:r>
    </w:p>
    <w:p>
      <w:pPr>
        <w:pStyle w:val="ListParagraph"/>
        <w:numPr>
          <w:ilvl w:val="0"/>
          <w:numId w:val="2"/>
        </w:numPr>
        <w:spacing w:after="60" w:line="272"/>
      </w:pPr>
      <w:r>
        <w:rPr>
          <w:b w:val="false"/>
          <w:bCs w:val="false"/>
          <w:i w:val="false"/>
          <w:iCs w:val="false"/>
          <w:sz w:val="21"/>
          <w:szCs w:val="21"/>
        </w:rPr>
        <w:t xml:space="preserve">978.5 V / 660 V = 1.48× Vn — within the load-rejection over-voltage envelope and above the inverter AC-OV level-2 threshold → the inverter should trip, as it did.</w:t>
      </w:r>
    </w:p>
    <w:p>
      <w:pPr>
        <w:pStyle w:val="Heading1"/>
        <w:spacing w:after="120" w:before="240"/>
      </w:pPr>
      <w:r>
        <w:rPr>
          <w:b/>
          <w:bCs/>
          <w:color w:val="1F3864"/>
          <w:sz w:val="28"/>
          <w:szCs w:val="28"/>
        </w:rPr>
        <w:t xml:space="preserve">5.  Root Cause</w:t>
      </w:r>
    </w:p>
    <w:p>
      <w:pPr>
        <w:pBdr>
          <w:left w:val="single" w:color="1F3864" w:sz="18" w:space="8"/>
        </w:pBdr>
        <w:shd w:fill="D9E1F2" w:color="auto" w:val="clear"/>
        <w:spacing w:after="120" w:before="60"/>
      </w:pPr>
      <w:r>
        <w:rPr>
          <w:b/>
          <w:bCs/>
          <w:sz w:val="22"/>
          <w:szCs w:val="22"/>
        </w:rPr>
        <w:t xml:space="preserve">Primary root cause </w:t>
      </w:r>
      <w:r>
        <w:rPr>
          <w:b/>
          <w:bCs/>
          <w:color w:val="2E5496"/>
          <w:sz w:val="22"/>
          <w:szCs w:val="22"/>
        </w:rPr>
        <w:t xml:space="preserve">[INFERENCE, high confidence]: </w:t>
      </w:r>
      <w:r>
        <w:rPr>
          <w:sz w:val="22"/>
          <w:szCs w:val="22"/>
        </w:rPr>
        <w:t xml:space="preserve">an intermittent single-phase (R-phase) earth fault / insulation weakness on the AC side of ACB 3.1 — in the zone from the bus duct, through the inverter-duty transformer (LV winding, bushings) and switchgear, up to the grid/earthing system. This produced a genuine residual (ground) current that the Micrologic Ig element correctly cleared. The inverter’s over-voltage / abnormal-frequency / islanding trips are a consequence of the ACB opening, not a cause.</w:t>
      </w:r>
    </w:p>
    <w:p>
      <w:pPr>
        <w:spacing w:after="100" w:line="276"/>
      </w:pPr>
      <w:r>
        <w:rPr>
          <w:b/>
          <w:bCs/>
          <w:i w:val="false"/>
          <w:iCs w:val="false"/>
          <w:sz w:val="21"/>
          <w:szCs w:val="21"/>
        </w:rPr>
        <w:t xml:space="preserve">Why intermittent, and why mornings </w:t>
      </w:r>
      <w:r>
        <w:rPr>
          <w:b/>
          <w:bCs/>
          <w:i w:val="false"/>
          <w:iCs w:val="false"/>
          <w:color w:val="2E5496"/>
          <w:sz w:val="21"/>
          <w:szCs w:val="21"/>
        </w:rPr>
        <w:t xml:space="preserve">[INFERENCE]</w:t>
      </w:r>
      <w:r>
        <w:rPr>
          <w:b w:val="false"/>
          <w:bCs w:val="false"/>
          <w:i w:val="false"/>
          <w:iCs w:val="false"/>
          <w:sz w:val="21"/>
          <w:szCs w:val="21"/>
        </w:rPr>
        <w:t xml:space="preserve">:  repeated trips concentrated in the morning are a textbook signature of moisture / condensation / dew-driven insulation breakdown (surface tracking across a contaminated or damp surface in a bus duct, termination, or transformer bushing). The path conducts when cold and damp at low morning load, then dries/warms and clears as irradiance rises — which is exactly why a static inspection on 10-Sep found everything “tight”: a tight bolt does not rule out an insulation/tracking fault, and an intermittent fault is usually absent during a dry mid-day check.</w:t>
      </w:r>
    </w:p>
    <w:p>
      <w:pPr>
        <w:pStyle w:val="Heading2"/>
        <w:spacing w:after="80" w:before="180"/>
      </w:pPr>
      <w:r>
        <w:rPr>
          <w:b/>
          <w:bCs/>
          <w:color w:val="2E5496"/>
          <w:sz w:val="24"/>
          <w:szCs w:val="24"/>
        </w:rPr>
        <w:t xml:space="preserve">Contributing / to-be-ruled-out factors</w:t>
      </w:r>
    </w:p>
    <w:p>
      <w:pPr>
        <w:pStyle w:val="ListParagraph"/>
        <w:numPr>
          <w:ilvl w:val="0"/>
          <w:numId w:val="2"/>
        </w:numPr>
        <w:spacing w:after="60" w:line="272"/>
      </w:pPr>
      <w:r>
        <w:rPr>
          <w:b/>
          <w:bCs/>
          <w:i w:val="false"/>
          <w:iCs w:val="false"/>
          <w:color w:val="833C00"/>
          <w:sz w:val="21"/>
          <w:szCs w:val="21"/>
        </w:rPr>
        <w:t xml:space="preserve">[OPEN]</w:t>
      </w:r>
      <w:r>
        <w:rPr>
          <w:b w:val="false"/>
          <w:bCs w:val="false"/>
          <w:i w:val="false"/>
          <w:iCs w:val="false"/>
          <w:sz w:val="21"/>
          <w:szCs w:val="21"/>
        </w:rPr>
        <w:t xml:space="preserve">  Inverter earth-leakage / common-mode current: PV inverters pass small HF common-mode currents to earth via EMI/Y-capacitors; under a grid dip these can rise. Unlikely to reach the ~kA-scale asymmetry seen — exclude by insulation testing (secondary factor, not the root cause).</w:t>
      </w:r>
    </w:p>
    <w:p>
      <w:pPr>
        <w:pStyle w:val="ListParagraph"/>
        <w:numPr>
          <w:ilvl w:val="0"/>
          <w:numId w:val="2"/>
        </w:numPr>
        <w:spacing w:after="60" w:line="272"/>
      </w:pPr>
      <w:r>
        <w:rPr>
          <w:b/>
          <w:bCs/>
          <w:i w:val="false"/>
          <w:iCs w:val="false"/>
          <w:color w:val="833C00"/>
          <w:sz w:val="21"/>
          <w:szCs w:val="21"/>
        </w:rPr>
        <w:t xml:space="preserve">[OPEN]</w:t>
      </w:r>
      <w:r>
        <w:rPr>
          <w:b w:val="false"/>
          <w:bCs w:val="false"/>
          <w:i w:val="false"/>
          <w:iCs w:val="false"/>
          <w:sz w:val="21"/>
          <w:szCs w:val="21"/>
        </w:rPr>
        <w:t xml:space="preserve">  Ig setting / grading: if Ig pickup or delay (tg) is set tighter than the inverter’s transient behaviour warrants, it lowers the margin against nuisance operation. Affects sensitivity to the fault, not the source of the ground current.</w:t>
      </w:r>
    </w:p>
    <w:p>
      <w:pPr>
        <w:pStyle w:val="Heading2"/>
        <w:spacing w:after="80" w:before="180"/>
      </w:pPr>
      <w:r>
        <w:rPr>
          <w:b/>
          <w:bCs/>
          <w:color w:val="2E5496"/>
          <w:sz w:val="24"/>
          <w:szCs w:val="24"/>
        </w:rPr>
        <w:t xml:space="preserve">5.1  5-Why</w:t>
      </w:r>
    </w:p>
    <w:p>
      <w:pPr>
        <w:pStyle w:val="ListParagraph"/>
        <w:numPr>
          <w:ilvl w:val="0"/>
          <w:numId w:val="3"/>
        </w:numPr>
        <w:spacing w:after="60" w:line="272"/>
      </w:pPr>
      <w:r>
        <w:rPr>
          <w:b w:val="false"/>
          <w:bCs w:val="false"/>
          <w:i w:val="false"/>
          <w:iCs w:val="false"/>
          <w:sz w:val="21"/>
          <w:szCs w:val="21"/>
        </w:rPr>
        <w:t xml:space="preserve">Why did ACB 3.1 trip? — Ig (ground-fault) element operated.</w:t>
      </w:r>
    </w:p>
    <w:p>
      <w:pPr>
        <w:pStyle w:val="ListParagraph"/>
        <w:numPr>
          <w:ilvl w:val="0"/>
          <w:numId w:val="3"/>
        </w:numPr>
        <w:spacing w:after="60" w:line="272"/>
      </w:pPr>
      <w:r>
        <w:rPr>
          <w:b w:val="false"/>
          <w:bCs w:val="false"/>
          <w:i w:val="false"/>
          <w:iCs w:val="false"/>
          <w:sz w:val="21"/>
          <w:szCs w:val="21"/>
        </w:rPr>
        <w:t xml:space="preserve">Why did Ig operate? — A real residual (ground) current exceeded Ig pickup for its time delay (confirmed by two independent Micrologic units).</w:t>
      </w:r>
    </w:p>
    <w:p>
      <w:pPr>
        <w:pStyle w:val="ListParagraph"/>
        <w:numPr>
          <w:ilvl w:val="0"/>
          <w:numId w:val="3"/>
        </w:numPr>
        <w:spacing w:after="60" w:line="272"/>
      </w:pPr>
      <w:r>
        <w:rPr>
          <w:b w:val="false"/>
          <w:bCs w:val="false"/>
          <w:i w:val="false"/>
          <w:iCs w:val="false"/>
          <w:sz w:val="21"/>
          <w:szCs w:val="21"/>
        </w:rPr>
        <w:t xml:space="preserve">Why was there residual current? — R-phase current partly returned through earth (R-phase reversed ~155° while Y/B stayed normal → asymmetric → non-zero vector sum).</w:t>
      </w:r>
    </w:p>
    <w:p>
      <w:pPr>
        <w:pStyle w:val="ListParagraph"/>
        <w:numPr>
          <w:ilvl w:val="0"/>
          <w:numId w:val="3"/>
        </w:numPr>
        <w:spacing w:after="60" w:line="272"/>
      </w:pPr>
      <w:r>
        <w:rPr>
          <w:b w:val="false"/>
          <w:bCs w:val="false"/>
          <w:i w:val="false"/>
          <w:iCs w:val="false"/>
          <w:sz w:val="21"/>
          <w:szCs w:val="21"/>
        </w:rPr>
        <w:t xml:space="preserve">Why did R-phase current return through earth? — An R-phase-to-ground insulation fault on the AC side (bus duct / transformer / switchgear / cabling).</w:t>
      </w:r>
    </w:p>
    <w:p>
      <w:pPr>
        <w:pStyle w:val="ListParagraph"/>
        <w:numPr>
          <w:ilvl w:val="0"/>
          <w:numId w:val="3"/>
        </w:numPr>
        <w:spacing w:after="60" w:line="272"/>
      </w:pPr>
      <w:r>
        <w:rPr>
          <w:b w:val="false"/>
          <w:bCs w:val="false"/>
          <w:i w:val="false"/>
          <w:iCs w:val="false"/>
          <w:sz w:val="21"/>
          <w:szCs w:val="21"/>
        </w:rPr>
        <w:t xml:space="preserve">Why is it intermittent / recurring in mornings? — Moisture / condensation-driven tracking across degraded or contaminated insulation that conducts only under damp, low-temperature morning conditions.</w:t>
      </w:r>
    </w:p>
    <w:p>
      <w:pPr>
        <w:pStyle w:val="Heading2"/>
        <w:spacing w:after="80" w:before="180"/>
      </w:pPr>
      <w:r>
        <w:rPr>
          <w:b/>
          <w:bCs/>
          <w:color w:val="2E5496"/>
          <w:sz w:val="24"/>
          <w:szCs w:val="24"/>
        </w:rPr>
        <w:t xml:space="preserve">5.2  Fishbone (summary)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F3864" w:color="auto" w:val="clear"/>
            <w:tcMar>
              <w:top w:type="dxa" w:w="40"/>
              <w:left w:type="dxa" w:w="80"/>
              <w:bottom w:type="dxa" w:w="40"/>
              <w:right w:type="dxa" w:w="80"/>
            </w:tcMar>
          </w:tcPr>
          <w:p>
            <w:pPr>
              <w:spacing w:after="20" w:before="20"/>
            </w:pPr>
            <w:r>
              <w:rPr>
                <w:b/>
                <w:bCs/>
                <w:color w:val="FFFFFF"/>
                <w:sz w:val="20"/>
                <w:szCs w:val="20"/>
              </w:rPr>
              <w:t xml:space="preserve">Category</w:t>
            </w:r>
          </w:p>
        </w:tc>
        <w:tc>
          <w:tcPr>
            <w:tcW w:type="dxa" w:w="6760"/>
            <w:shd w:fill="1F3864" w:color="auto" w:val="clear"/>
            <w:tcMar>
              <w:top w:type="dxa" w:w="40"/>
              <w:left w:type="dxa" w:w="80"/>
              <w:bottom w:type="dxa" w:w="40"/>
              <w:right w:type="dxa" w:w="80"/>
            </w:tcMar>
          </w:tcPr>
          <w:p>
            <w:pPr>
              <w:spacing w:after="20" w:before="20"/>
            </w:pPr>
            <w:r>
              <w:rPr>
                <w:b/>
                <w:bCs/>
                <w:color w:val="FFFFFF"/>
                <w:sz w:val="20"/>
                <w:szCs w:val="20"/>
              </w:rPr>
              <w:t xml:space="preserve">Assessment</w:t>
            </w:r>
          </w:p>
        </w:tc>
      </w:tr>
      <w:tr>
        <w:tc>
          <w:tcPr>
            <w:tcW w:type="dxa" w:w="2600"/>
            <w:shd w:fill="FFFFFF" w:color="auto" w:val="clear"/>
            <w:tcMar>
              <w:top w:type="dxa" w:w="40"/>
              <w:left w:type="dxa" w:w="80"/>
              <w:bottom w:type="dxa" w:w="40"/>
              <w:right w:type="dxa" w:w="80"/>
            </w:tcMar>
          </w:tcPr>
          <w:p>
            <w:pPr>
              <w:spacing w:after="20" w:before="20"/>
            </w:pPr>
            <w:r>
              <w:rPr>
                <w:b w:val="false"/>
                <w:bCs w:val="false"/>
                <w:sz w:val="20"/>
                <w:szCs w:val="20"/>
              </w:rPr>
              <w:t xml:space="preserve">Equipment (breaker)</w:t>
            </w:r>
          </w:p>
        </w:tc>
        <w:tc>
          <w:tcPr>
            <w:tcW w:type="dxa" w:w="6760"/>
            <w:shd w:fill="FFFFFF" w:color="auto" w:val="clear"/>
            <w:tcMar>
              <w:top w:type="dxa" w:w="40"/>
              <w:left w:type="dxa" w:w="80"/>
              <w:bottom w:type="dxa" w:w="40"/>
              <w:right w:type="dxa" w:w="80"/>
            </w:tcMar>
          </w:tcPr>
          <w:p>
            <w:pPr>
              <w:spacing w:after="20" w:before="20"/>
            </w:pPr>
            <w:r>
              <w:rPr>
                <w:b w:val="false"/>
                <w:bCs w:val="false"/>
                <w:sz w:val="20"/>
                <w:szCs w:val="20"/>
              </w:rPr>
              <w:t xml:space="preserve">Ruled out — NFP, lab-tested, two Micrologics agree.</w:t>
            </w:r>
          </w:p>
        </w:tc>
      </w:tr>
      <w:tr>
        <w:tc>
          <w:tcPr>
            <w:tcW w:type="dxa" w:w="2600"/>
            <w:shd w:fill="EEF2F9" w:color="auto" w:val="clear"/>
            <w:tcMar>
              <w:top w:type="dxa" w:w="40"/>
              <w:left w:type="dxa" w:w="80"/>
              <w:bottom w:type="dxa" w:w="40"/>
              <w:right w:type="dxa" w:w="80"/>
            </w:tcMar>
          </w:tcPr>
          <w:p>
            <w:pPr>
              <w:spacing w:after="20" w:before="20"/>
            </w:pPr>
            <w:r>
              <w:rPr>
                <w:b w:val="false"/>
                <w:bCs w:val="false"/>
                <w:sz w:val="20"/>
                <w:szCs w:val="20"/>
              </w:rPr>
              <w:t xml:space="preserve">Equipment (inverter)</w:t>
            </w:r>
          </w:p>
        </w:tc>
        <w:tc>
          <w:tcPr>
            <w:tcW w:type="dxa" w:w="6760"/>
            <w:shd w:fill="EEF2F9" w:color="auto" w:val="clear"/>
            <w:tcMar>
              <w:top w:type="dxa" w:w="40"/>
              <w:left w:type="dxa" w:w="80"/>
              <w:bottom w:type="dxa" w:w="40"/>
              <w:right w:type="dxa" w:w="80"/>
            </w:tcMar>
          </w:tcPr>
          <w:p>
            <w:pPr>
              <w:spacing w:after="20" w:before="20"/>
            </w:pPr>
            <w:r>
              <w:rPr>
                <w:b w:val="false"/>
                <w:bCs w:val="false"/>
                <w:sz w:val="20"/>
                <w:szCs w:val="20"/>
              </w:rPr>
              <w:t xml:space="preserve">Ruled out as originator — grid-following; OV/freq is consequential.</w:t>
            </w:r>
          </w:p>
        </w:tc>
      </w:tr>
      <w:tr>
        <w:tc>
          <w:tcPr>
            <w:tcW w:type="dxa" w:w="2600"/>
            <w:shd w:fill="FFFFFF" w:color="auto" w:val="clear"/>
            <w:tcMar>
              <w:top w:type="dxa" w:w="40"/>
              <w:left w:type="dxa" w:w="80"/>
              <w:bottom w:type="dxa" w:w="40"/>
              <w:right w:type="dxa" w:w="80"/>
            </w:tcMar>
          </w:tcPr>
          <w:p>
            <w:pPr>
              <w:spacing w:after="20" w:before="20"/>
            </w:pPr>
            <w:r>
              <w:rPr>
                <w:b/>
                <w:bCs/>
                <w:sz w:val="20"/>
                <w:szCs w:val="20"/>
              </w:rPr>
              <w:t xml:space="preserve">Electrical / insulation</w:t>
            </w:r>
          </w:p>
        </w:tc>
        <w:tc>
          <w:tcPr>
            <w:tcW w:type="dxa" w:w="6760"/>
            <w:shd w:fill="FFFFFF" w:color="auto" w:val="clear"/>
            <w:tcMar>
              <w:top w:type="dxa" w:w="40"/>
              <w:left w:type="dxa" w:w="80"/>
              <w:bottom w:type="dxa" w:w="40"/>
              <w:right w:type="dxa" w:w="80"/>
            </w:tcMar>
          </w:tcPr>
          <w:p>
            <w:pPr>
              <w:spacing w:after="20" w:before="20"/>
            </w:pPr>
            <w:r>
              <w:rPr>
                <w:b/>
                <w:bCs/>
                <w:color w:val="833C00"/>
                <w:sz w:val="20"/>
                <w:szCs w:val="20"/>
              </w:rPr>
              <w:t xml:space="preserve">PRIME SUSPECT — R-phase earth fault in bus duct / transformer LV / switchgear / cable.</w:t>
            </w:r>
          </w:p>
        </w:tc>
      </w:tr>
      <w:tr>
        <w:tc>
          <w:tcPr>
            <w:tcW w:type="dxa" w:w="2600"/>
            <w:shd w:fill="EEF2F9" w:color="auto" w:val="clear"/>
            <w:tcMar>
              <w:top w:type="dxa" w:w="40"/>
              <w:left w:type="dxa" w:w="80"/>
              <w:bottom w:type="dxa" w:w="40"/>
              <w:right w:type="dxa" w:w="80"/>
            </w:tcMar>
          </w:tcPr>
          <w:p>
            <w:pPr>
              <w:spacing w:after="20" w:before="20"/>
            </w:pPr>
            <w:r>
              <w:rPr>
                <w:b w:val="false"/>
                <w:bCs w:val="false"/>
                <w:sz w:val="20"/>
                <w:szCs w:val="20"/>
              </w:rPr>
              <w:t xml:space="preserve">Environment</w:t>
            </w:r>
          </w:p>
        </w:tc>
        <w:tc>
          <w:tcPr>
            <w:tcW w:type="dxa" w:w="6760"/>
            <w:shd w:fill="EEF2F9" w:color="auto" w:val="clear"/>
            <w:tcMar>
              <w:top w:type="dxa" w:w="40"/>
              <w:left w:type="dxa" w:w="80"/>
              <w:bottom w:type="dxa" w:w="40"/>
              <w:right w:type="dxa" w:w="80"/>
            </w:tcMar>
          </w:tcPr>
          <w:p>
            <w:pPr>
              <w:spacing w:after="20" w:before="20"/>
            </w:pPr>
            <w:r>
              <w:rPr>
                <w:b w:val="false"/>
                <w:bCs w:val="false"/>
                <w:sz w:val="20"/>
                <w:szCs w:val="20"/>
              </w:rPr>
              <w:t xml:space="preserve">Contributing — morning dew/condensation triggering intermittent tracking (coastal, salt-laden humidity).</w:t>
            </w:r>
          </w:p>
        </w:tc>
      </w:tr>
      <w:tr>
        <w:tc>
          <w:tcPr>
            <w:tcW w:type="dxa" w:w="2600"/>
            <w:shd w:fill="FFFFFF" w:color="auto" w:val="clear"/>
            <w:tcMar>
              <w:top w:type="dxa" w:w="40"/>
              <w:left w:type="dxa" w:w="80"/>
              <w:bottom w:type="dxa" w:w="40"/>
              <w:right w:type="dxa" w:w="80"/>
            </w:tcMar>
          </w:tcPr>
          <w:p>
            <w:pPr>
              <w:spacing w:after="20" w:before="20"/>
            </w:pPr>
            <w:r>
              <w:rPr>
                <w:b w:val="false"/>
                <w:bCs w:val="false"/>
                <w:sz w:val="20"/>
                <w:szCs w:val="20"/>
              </w:rPr>
              <w:t xml:space="preserve">Settings / coordination</w:t>
            </w:r>
          </w:p>
        </w:tc>
        <w:tc>
          <w:tcPr>
            <w:tcW w:type="dxa" w:w="6760"/>
            <w:shd w:fill="FFFFFF" w:color="auto" w:val="clear"/>
            <w:tcMar>
              <w:top w:type="dxa" w:w="40"/>
              <w:left w:type="dxa" w:w="80"/>
              <w:bottom w:type="dxa" w:w="40"/>
              <w:right w:type="dxa" w:w="80"/>
            </w:tcMar>
          </w:tcPr>
          <w:p>
            <w:pPr>
              <w:spacing w:after="20" w:before="20"/>
            </w:pPr>
            <w:r>
              <w:rPr>
                <w:b w:val="false"/>
                <w:bCs w:val="false"/>
                <w:sz w:val="20"/>
                <w:szCs w:val="20"/>
              </w:rPr>
              <w:t xml:space="preserve">To review — Ig pickup &amp; tg grading vs. inverter transients.</w:t>
            </w:r>
          </w:p>
        </w:tc>
      </w:tr>
      <w:tr>
        <w:tc>
          <w:tcPr>
            <w:tcW w:type="dxa" w:w="2600"/>
            <w:shd w:fill="EEF2F9" w:color="auto" w:val="clear"/>
            <w:tcMar>
              <w:top w:type="dxa" w:w="40"/>
              <w:left w:type="dxa" w:w="80"/>
              <w:bottom w:type="dxa" w:w="40"/>
              <w:right w:type="dxa" w:w="80"/>
            </w:tcMar>
          </w:tcPr>
          <w:p>
            <w:pPr>
              <w:spacing w:after="20" w:before="20"/>
            </w:pPr>
            <w:r>
              <w:rPr>
                <w:b w:val="false"/>
                <w:bCs w:val="false"/>
                <w:sz w:val="20"/>
                <w:szCs w:val="20"/>
              </w:rPr>
              <w:t xml:space="preserve">Measurement / CT</w:t>
            </w:r>
          </w:p>
        </w:tc>
        <w:tc>
          <w:tcPr>
            <w:tcW w:type="dxa" w:w="6760"/>
            <w:shd w:fill="EEF2F9" w:color="auto" w:val="clear"/>
            <w:tcMar>
              <w:top w:type="dxa" w:w="40"/>
              <w:left w:type="dxa" w:w="80"/>
              <w:bottom w:type="dxa" w:w="40"/>
              <w:right w:type="dxa" w:w="80"/>
            </w:tcMar>
          </w:tcPr>
          <w:p>
            <w:pPr>
              <w:spacing w:after="20" w:before="20"/>
            </w:pPr>
            <w:r>
              <w:rPr>
                <w:b w:val="false"/>
                <w:bCs w:val="false"/>
                <w:sz w:val="20"/>
                <w:szCs w:val="20"/>
              </w:rPr>
              <w:t xml:space="preserve">Ruled out — built-in sensors + external wiring tested healthy.</w:t>
            </w:r>
          </w:p>
        </w:tc>
      </w:tr>
    </w:tbl>
    <w:p>
      <w:pPr>
        <w:pStyle w:val="Heading1"/>
        <w:spacing w:after="120" w:before="240"/>
      </w:pPr>
      <w:r>
        <w:rPr>
          <w:b/>
          <w:bCs/>
          <w:color w:val="1F3864"/>
          <w:sz w:val="28"/>
          <w:szCs w:val="28"/>
        </w:rPr>
        <w:t xml:space="preserve">6.  Corrective &amp; Preventive Action Plan (fault-location first)</w:t>
      </w:r>
    </w:p>
    <w:p>
      <w:pPr>
        <w:pStyle w:val="Heading2"/>
        <w:spacing w:after="80" w:before="180"/>
      </w:pPr>
      <w:r>
        <w:rPr>
          <w:b/>
          <w:bCs/>
          <w:color w:val="2E5496"/>
          <w:sz w:val="24"/>
          <w:szCs w:val="24"/>
        </w:rPr>
        <w:t xml:space="preserve">A.  Locate the earth fault (before touching any protection setting)</w:t>
      </w:r>
    </w:p>
    <w:p>
      <w:pPr>
        <w:pStyle w:val="ListParagraph"/>
        <w:numPr>
          <w:ilvl w:val="0"/>
          <w:numId w:val="4"/>
        </w:numPr>
        <w:spacing w:after="60" w:line="272"/>
      </w:pPr>
      <w:r>
        <w:rPr>
          <w:b w:val="false"/>
          <w:bCs w:val="false"/>
          <w:i w:val="false"/>
          <w:iCs w:val="false"/>
          <w:sz w:val="21"/>
          <w:szCs w:val="21"/>
        </w:rPr>
        <w:t xml:space="preserve">De-energise and isolate the ACB 3.1 section; isolate the inverter at its AC terminals.</w:t>
      </w:r>
    </w:p>
    <w:p>
      <w:pPr>
        <w:pStyle w:val="ListParagraph"/>
        <w:numPr>
          <w:ilvl w:val="0"/>
          <w:numId w:val="4"/>
        </w:numPr>
        <w:spacing w:after="60" w:line="272"/>
      </w:pPr>
      <w:r>
        <w:rPr>
          <w:b w:val="false"/>
          <w:bCs w:val="false"/>
          <w:i w:val="false"/>
          <w:iCs w:val="false"/>
          <w:sz w:val="21"/>
          <w:szCs w:val="21"/>
        </w:rPr>
        <w:t xml:space="preserve">Insulation-resistance (IR/megger) test, phase-to-earth on EACH phase (R, Y, B separately) across: inverter AC bus duct, LV cabling, and transformer LV winding/bushings. Expect a low reading on R-phase if the hypothesis holds; trend it — a temperature/moisture-sensitive value confirms the moisture link.</w:t>
      </w:r>
    </w:p>
    <w:p>
      <w:pPr>
        <w:pStyle w:val="ListParagraph"/>
        <w:numPr>
          <w:ilvl w:val="0"/>
          <w:numId w:val="4"/>
        </w:numPr>
        <w:spacing w:after="60" w:line="272"/>
      </w:pPr>
      <w:r>
        <w:rPr>
          <w:b w:val="false"/>
          <w:bCs w:val="false"/>
          <w:i w:val="false"/>
          <w:iCs w:val="false"/>
          <w:sz w:val="21"/>
          <w:szCs w:val="21"/>
        </w:rPr>
        <w:t xml:space="preserve">Thermography of all AC terminations, bus-duct joints and transformer bushings under load — look for hot/tracking spots on R-phase.</w:t>
      </w:r>
    </w:p>
    <w:p>
      <w:pPr>
        <w:pStyle w:val="ListParagraph"/>
        <w:numPr>
          <w:ilvl w:val="0"/>
          <w:numId w:val="4"/>
        </w:numPr>
        <w:spacing w:after="60" w:line="272"/>
      </w:pPr>
      <w:r>
        <w:rPr>
          <w:b w:val="false"/>
          <w:bCs w:val="false"/>
          <w:i w:val="false"/>
          <w:iCs w:val="false"/>
          <w:sz w:val="21"/>
          <w:szCs w:val="21"/>
        </w:rPr>
        <w:t xml:space="preserve">Internal visual inspection of the bus duct for moisture ingress, condensation, dust/salt contamination and surface tracking; check gland/IP integrity, breathers/drains.</w:t>
      </w:r>
    </w:p>
    <w:p>
      <w:pPr>
        <w:pStyle w:val="ListParagraph"/>
        <w:numPr>
          <w:ilvl w:val="0"/>
          <w:numId w:val="4"/>
        </w:numPr>
        <w:spacing w:after="60" w:line="272"/>
      </w:pPr>
      <w:r>
        <w:rPr>
          <w:b w:val="false"/>
          <w:bCs w:val="false"/>
          <w:i w:val="false"/>
          <w:iCs w:val="false"/>
          <w:sz w:val="21"/>
          <w:szCs w:val="21"/>
        </w:rPr>
        <w:t xml:space="preserve">Timed correlation: pull the Micrologic Ig event log (timestamp + logged ground-current magnitude) and correlate with time-of-day, humidity and inverter power to confirm the morning/moisture pattern quantitatively.</w:t>
      </w:r>
    </w:p>
    <w:p>
      <w:pPr>
        <w:pStyle w:val="Heading2"/>
        <w:spacing w:after="80" w:before="180"/>
      </w:pPr>
      <w:r>
        <w:rPr>
          <w:b/>
          <w:bCs/>
          <w:color w:val="2E5496"/>
          <w:sz w:val="24"/>
          <w:szCs w:val="24"/>
        </w:rPr>
        <w:t xml:space="preserve">B.  Rectify</w:t>
      </w:r>
    </w:p>
    <w:p>
      <w:pPr>
        <w:spacing w:after="100" w:line="276"/>
      </w:pPr>
      <w:r>
        <w:rPr>
          <w:b w:val="false"/>
          <w:bCs w:val="false"/>
          <w:i w:val="false"/>
          <w:iCs w:val="false"/>
          <w:sz w:val="21"/>
          <w:szCs w:val="21"/>
        </w:rPr>
        <w:t xml:space="preserve">Repair/replace the affected insulation; dry out and re-seal the bus duct; restore IP integrity; add anti-condensation heaters / breathers where applicable; treat salt/dust contamination.</w:t>
      </w:r>
    </w:p>
    <w:p>
      <w:pPr>
        <w:pStyle w:val="Heading2"/>
        <w:spacing w:after="80" w:before="180"/>
      </w:pPr>
      <w:r>
        <w:rPr>
          <w:b/>
          <w:bCs/>
          <w:color w:val="2E5496"/>
          <w:sz w:val="24"/>
          <w:szCs w:val="24"/>
        </w:rPr>
        <w:t xml:space="preserve">C.  Protection — coordinate, do NOT blindly disable (see §7)</w:t>
      </w:r>
    </w:p>
    <w:p>
      <w:pPr>
        <w:spacing w:after="100" w:line="276"/>
      </w:pPr>
      <w:r>
        <w:rPr>
          <w:b w:val="false"/>
          <w:bCs w:val="false"/>
          <w:i w:val="false"/>
          <w:iCs w:val="false"/>
          <w:sz w:val="21"/>
          <w:szCs w:val="21"/>
        </w:rPr>
        <w:t xml:space="preserve">After the fault is cleared, review Ig pickup (Ig) and delay (tg) against a short grading study so genuine momentary asymmetries during inverter/grid transients are ridden through while real sustained ground faults still trip. Verify disconnection times against IEC 60364 / CEA requirements. Consider continuous Residual Current Monitoring (RCM) for early warning.</w:t>
      </w:r>
    </w:p>
    <w:p>
      <w:pPr>
        <w:pStyle w:val="Heading2"/>
        <w:spacing w:after="80" w:before="180"/>
      </w:pPr>
      <w:r>
        <w:rPr>
          <w:b/>
          <w:bCs/>
          <w:color w:val="2E5496"/>
          <w:sz w:val="24"/>
          <w:szCs w:val="24"/>
        </w:rPr>
        <w:t xml:space="preserve">D.  Verify inverter side</w:t>
      </w:r>
    </w:p>
    <w:p>
      <w:pPr>
        <w:spacing w:after="100" w:line="276"/>
      </w:pPr>
      <w:r>
        <w:rPr>
          <w:b w:val="false"/>
          <w:bCs w:val="false"/>
          <w:i w:val="false"/>
          <w:iCs w:val="false"/>
          <w:sz w:val="21"/>
          <w:szCs w:val="21"/>
        </w:rPr>
        <w:t xml:space="preserve">Confirm inverter LVRT / anti-islanding settings and earth-leakage (Riso / GFDI) thresholds are per spec; confirm the OV/freq trips were protective responses, not mis-set.</w:t>
      </w:r>
    </w:p>
    <w:p>
      <w:pPr>
        <w:pStyle w:val="Heading1"/>
        <w:spacing w:after="120" w:before="240"/>
      </w:pPr>
      <w:r>
        <w:rPr>
          <w:b/>
          <w:bCs/>
          <w:color w:val="1F3864"/>
          <w:sz w:val="28"/>
          <w:szCs w:val="28"/>
        </w:rPr>
        <w:t xml:space="preserve">7.  Decision on the Pending Request — Disable / Bypass Ig Protection</w:t>
      </w:r>
    </w:p>
    <w:p>
      <w:pPr>
        <w:pBdr>
          <w:left w:val="single" w:color="833C00" w:sz="18" w:space="8"/>
        </w:pBdr>
        <w:shd w:fill="FCE4E4" w:color="auto" w:val="clear"/>
        <w:spacing w:after="120" w:before="60"/>
      </w:pPr>
      <w:r>
        <w:rPr>
          <w:b/>
          <w:bCs/>
          <w:color w:val="833C00"/>
          <w:sz w:val="23"/>
          <w:szCs w:val="23"/>
        </w:rPr>
        <w:t xml:space="preserve">Recommendation: DO NOT approve a blanket disable/bypass of the Ig protection.</w:t>
      </w:r>
    </w:p>
    <w:p>
      <w:pPr>
        <w:pStyle w:val="ListParagraph"/>
        <w:numPr>
          <w:ilvl w:val="0"/>
          <w:numId w:val="5"/>
        </w:numPr>
        <w:spacing w:after="60" w:line="272"/>
      </w:pPr>
      <w:r>
        <w:rPr>
          <w:b w:val="false"/>
          <w:bCs w:val="false"/>
          <w:i w:val="false"/>
          <w:iCs w:val="false"/>
          <w:sz w:val="21"/>
          <w:szCs w:val="21"/>
        </w:rPr>
        <w:t xml:space="preserve">It removes real protection against a real hazard. Schneider’s own evidence — residual-current records and a second Micrologic logging ground current — says the trip was genuine. Disabling Ig would let earth-fault current persist undetected, risking transformer/cable/bus-duct damage, arcing/fire, and step-touch shock hazard.</w:t>
      </w:r>
    </w:p>
    <w:p>
      <w:pPr>
        <w:pStyle w:val="ListParagraph"/>
        <w:numPr>
          <w:ilvl w:val="0"/>
          <w:numId w:val="5"/>
        </w:numPr>
        <w:spacing w:after="60" w:line="272"/>
      </w:pPr>
      <w:r>
        <w:rPr>
          <w:b w:val="false"/>
          <w:bCs w:val="false"/>
          <w:i w:val="false"/>
          <w:iCs w:val="false"/>
          <w:sz w:val="21"/>
          <w:szCs w:val="21"/>
        </w:rPr>
        <w:t xml:space="preserve">It treats the symptom, not the cause. The trips would stop, but the underlying ground current would keep flowing — converting a self-protecting fault into a hidden, escalating one.</w:t>
      </w:r>
    </w:p>
    <w:p>
      <w:pPr>
        <w:pStyle w:val="ListParagraph"/>
        <w:numPr>
          <w:ilvl w:val="0"/>
          <w:numId w:val="5"/>
        </w:numPr>
        <w:spacing w:after="60" w:line="272"/>
      </w:pPr>
      <w:r>
        <w:rPr>
          <w:b w:val="false"/>
          <w:bCs w:val="false"/>
          <w:i w:val="false"/>
          <w:iCs w:val="false"/>
          <w:sz w:val="21"/>
          <w:szCs w:val="21"/>
        </w:rPr>
        <w:t xml:space="preserve">Statutory / contractual exposure. Earth-fault protection on LV systems is a safety function; disabling it may breach CEA (Measures relating to Safety &amp; Electric Supply) Regulations, plant insurance conditions, and O&amp;M/warranty terms.</w:t>
      </w:r>
    </w:p>
    <w:p>
      <w:pPr>
        <w:pStyle w:val="ListParagraph"/>
        <w:numPr>
          <w:ilvl w:val="0"/>
          <w:numId w:val="5"/>
        </w:numPr>
        <w:spacing w:after="60" w:line="272"/>
      </w:pPr>
      <w:r>
        <w:rPr>
          <w:b w:val="false"/>
          <w:bCs w:val="false"/>
          <w:i w:val="false"/>
          <w:iCs w:val="false"/>
          <w:sz w:val="21"/>
          <w:szCs w:val="21"/>
        </w:rPr>
        <w:t xml:space="preserve">A safer, standards-aligned alternative exists (§6C): locate &amp; fix the fault, then re-coordinate Ig settings (pickup + intentional short delay) rather than removing the function. If generation must be maintained before the fault is found, retain Ig with reviewed settings + enhanced logging / RCM — never a full bypass.</w:t>
      </w:r>
    </w:p>
    <w:p>
      <w:pPr>
        <w:spacing w:after="100" w:line="276"/>
      </w:pPr>
      <w:r>
        <w:rPr>
          <w:b w:val="false"/>
          <w:bCs w:val="false"/>
          <w:i/>
          <w:iCs/>
          <w:sz w:val="21"/>
          <w:szCs w:val="21"/>
        </w:rPr>
        <w:t xml:space="preserve">If, exceptionally, the client/consultant still elects a temporary sensitivity change, it must be a documented, time-bound, risk-assessed setting change (not a disable), signed off by the protection consultant, with the §6 fault-location actions running in parallel.</w:t>
      </w:r>
    </w:p>
    <w:p>
      <w:pPr>
        <w:pStyle w:val="Heading1"/>
        <w:spacing w:after="120" w:before="240"/>
      </w:pPr>
      <w:r>
        <w:rPr>
          <w:b/>
          <w:bCs/>
          <w:color w:val="1F3864"/>
          <w:sz w:val="28"/>
          <w:szCs w:val="28"/>
        </w:rPr>
        <w:t xml:space="preserve">8.  Actions &amp; Ownership</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60"/>
        <w:gridCol w:w="5900"/>
        <w:gridCol w:w="1800"/>
        <w:gridCol w:w="1100"/>
      </w:tblGrid>
      <w:tr>
        <w:trPr>
          <w:tblHeader/>
        </w:trPr>
        <w:tc>
          <w:tcPr>
            <w:tcW w:type="dxa" w:w="560"/>
            <w:shd w:fill="1F3864" w:color="auto" w:val="clear"/>
            <w:tcMar>
              <w:top w:type="dxa" w:w="40"/>
              <w:left w:type="dxa" w:w="80"/>
              <w:bottom w:type="dxa" w:w="40"/>
              <w:right w:type="dxa" w:w="80"/>
            </w:tcMar>
          </w:tcPr>
          <w:p>
            <w:pPr>
              <w:spacing w:after="20" w:before="20"/>
            </w:pPr>
            <w:r>
              <w:rPr>
                <w:b/>
                <w:bCs/>
                <w:color w:val="FFFFFF"/>
                <w:sz w:val="20"/>
                <w:szCs w:val="20"/>
              </w:rPr>
              <w:t xml:space="preserve">#</w:t>
            </w:r>
          </w:p>
        </w:tc>
        <w:tc>
          <w:tcPr>
            <w:tcW w:type="dxa" w:w="5900"/>
            <w:shd w:fill="1F3864" w:color="auto" w:val="clear"/>
            <w:tcMar>
              <w:top w:type="dxa" w:w="40"/>
              <w:left w:type="dxa" w:w="80"/>
              <w:bottom w:type="dxa" w:w="40"/>
              <w:right w:type="dxa" w:w="80"/>
            </w:tcMar>
          </w:tcPr>
          <w:p>
            <w:pPr>
              <w:spacing w:after="20" w:before="20"/>
            </w:pPr>
            <w:r>
              <w:rPr>
                <w:b/>
                <w:bCs/>
                <w:color w:val="FFFFFF"/>
                <w:sz w:val="20"/>
                <w:szCs w:val="20"/>
              </w:rPr>
              <w:t xml:space="preserve">Action</w:t>
            </w:r>
          </w:p>
        </w:tc>
        <w:tc>
          <w:tcPr>
            <w:tcW w:type="dxa" w:w="1800"/>
            <w:shd w:fill="1F3864" w:color="auto" w:val="clear"/>
            <w:tcMar>
              <w:top w:type="dxa" w:w="40"/>
              <w:left w:type="dxa" w:w="80"/>
              <w:bottom w:type="dxa" w:w="40"/>
              <w:right w:type="dxa" w:w="80"/>
            </w:tcMar>
          </w:tcPr>
          <w:p>
            <w:pPr>
              <w:spacing w:after="20" w:before="20"/>
            </w:pPr>
            <w:r>
              <w:rPr>
                <w:b/>
                <w:bCs/>
                <w:color w:val="FFFFFF"/>
                <w:sz w:val="20"/>
                <w:szCs w:val="20"/>
              </w:rPr>
              <w:t xml:space="preserve">Owner</w:t>
            </w:r>
          </w:p>
        </w:tc>
        <w:tc>
          <w:tcPr>
            <w:tcW w:type="dxa" w:w="1100"/>
            <w:shd w:fill="1F3864" w:color="auto" w:val="clear"/>
            <w:tcMar>
              <w:top w:type="dxa" w:w="40"/>
              <w:left w:type="dxa" w:w="80"/>
              <w:bottom w:type="dxa" w:w="40"/>
              <w:right w:type="dxa" w:w="80"/>
            </w:tcMar>
          </w:tcPr>
          <w:p>
            <w:pPr>
              <w:spacing w:after="20" w:before="20"/>
            </w:pPr>
            <w:r>
              <w:rPr>
                <w:b/>
                <w:bCs/>
                <w:color w:val="FFFFFF"/>
                <w:sz w:val="20"/>
                <w:szCs w:val="20"/>
              </w:rPr>
              <w:t xml:space="preserve">Priority</w:t>
            </w:r>
          </w:p>
        </w:tc>
      </w:tr>
      <w:tr>
        <w:tc>
          <w:tcPr>
            <w:tcW w:type="dxa" w:w="560"/>
            <w:shd w:fill="FFFFFF" w:color="auto" w:val="clear"/>
            <w:tcMar>
              <w:top w:type="dxa" w:w="40"/>
              <w:left w:type="dxa" w:w="80"/>
              <w:bottom w:type="dxa" w:w="40"/>
              <w:right w:type="dxa" w:w="80"/>
            </w:tcMar>
          </w:tcPr>
          <w:p>
            <w:pPr>
              <w:spacing w:after="20" w:before="20"/>
            </w:pPr>
            <w:r>
              <w:rPr>
                <w:b w:val="false"/>
                <w:bCs w:val="false"/>
                <w:sz w:val="20"/>
                <w:szCs w:val="20"/>
              </w:rPr>
              <w:t xml:space="preserve">1</w:t>
            </w:r>
          </w:p>
        </w:tc>
        <w:tc>
          <w:tcPr>
            <w:tcW w:type="dxa" w:w="5900"/>
            <w:shd w:fill="FFFFFF" w:color="auto" w:val="clear"/>
            <w:tcMar>
              <w:top w:type="dxa" w:w="40"/>
              <w:left w:type="dxa" w:w="80"/>
              <w:bottom w:type="dxa" w:w="40"/>
              <w:right w:type="dxa" w:w="80"/>
            </w:tcMar>
          </w:tcPr>
          <w:p>
            <w:pPr>
              <w:spacing w:after="20" w:before="20"/>
            </w:pPr>
            <w:r>
              <w:rPr>
                <w:b w:val="false"/>
                <w:bCs w:val="false"/>
                <w:sz w:val="20"/>
                <w:szCs w:val="20"/>
              </w:rPr>
              <w:t xml:space="preserve">IR (phase-to-earth, per phase) on bus duct, LV cable, transformer LV winding</w:t>
            </w:r>
          </w:p>
        </w:tc>
        <w:tc>
          <w:tcPr>
            <w:tcW w:type="dxa" w:w="1800"/>
            <w:shd w:fill="FFFFFF" w:color="auto" w:val="clear"/>
            <w:tcMar>
              <w:top w:type="dxa" w:w="40"/>
              <w:left w:type="dxa" w:w="80"/>
              <w:bottom w:type="dxa" w:w="40"/>
              <w:right w:type="dxa" w:w="80"/>
            </w:tcMar>
          </w:tcPr>
          <w:p>
            <w:pPr>
              <w:spacing w:after="20" w:before="20"/>
            </w:pPr>
            <w:r>
              <w:rPr>
                <w:b w:val="false"/>
                <w:bCs w:val="false"/>
                <w:sz w:val="20"/>
                <w:szCs w:val="20"/>
              </w:rPr>
              <w:t xml:space="preserve">O&amp;M / EPC electrical</w:t>
            </w:r>
          </w:p>
        </w:tc>
        <w:tc>
          <w:tcPr>
            <w:tcW w:type="dxa" w:w="1100"/>
            <w:shd w:fill="FFFFFF" w:color="auto" w:val="clear"/>
            <w:tcMar>
              <w:top w:type="dxa" w:w="40"/>
              <w:left w:type="dxa" w:w="80"/>
              <w:bottom w:type="dxa" w:w="40"/>
              <w:right w:type="dxa" w:w="80"/>
            </w:tcMar>
          </w:tcPr>
          <w:p>
            <w:pPr>
              <w:spacing w:after="20" w:before="20"/>
            </w:pPr>
            <w:r>
              <w:rPr>
                <w:b/>
                <w:bCs/>
                <w:color w:val="833C00"/>
                <w:sz w:val="20"/>
                <w:szCs w:val="20"/>
              </w:rPr>
              <w:t xml:space="preserve">Immediate</w:t>
            </w:r>
          </w:p>
        </w:tc>
      </w:tr>
      <w:tr>
        <w:tc>
          <w:tcPr>
            <w:tcW w:type="dxa" w:w="560"/>
            <w:shd w:fill="EEF2F9" w:color="auto" w:val="clear"/>
            <w:tcMar>
              <w:top w:type="dxa" w:w="40"/>
              <w:left w:type="dxa" w:w="80"/>
              <w:bottom w:type="dxa" w:w="40"/>
              <w:right w:type="dxa" w:w="80"/>
            </w:tcMar>
          </w:tcPr>
          <w:p>
            <w:pPr>
              <w:spacing w:after="20" w:before="20"/>
            </w:pPr>
            <w:r>
              <w:rPr>
                <w:b w:val="false"/>
                <w:bCs w:val="false"/>
                <w:sz w:val="20"/>
                <w:szCs w:val="20"/>
              </w:rPr>
              <w:t xml:space="preserve">2</w:t>
            </w:r>
          </w:p>
        </w:tc>
        <w:tc>
          <w:tcPr>
            <w:tcW w:type="dxa" w:w="5900"/>
            <w:shd w:fill="EEF2F9" w:color="auto" w:val="clear"/>
            <w:tcMar>
              <w:top w:type="dxa" w:w="40"/>
              <w:left w:type="dxa" w:w="80"/>
              <w:bottom w:type="dxa" w:w="40"/>
              <w:right w:type="dxa" w:w="80"/>
            </w:tcMar>
          </w:tcPr>
          <w:p>
            <w:pPr>
              <w:spacing w:after="20" w:before="20"/>
            </w:pPr>
            <w:r>
              <w:rPr>
                <w:b w:val="false"/>
                <w:bCs w:val="false"/>
                <w:sz w:val="20"/>
                <w:szCs w:val="20"/>
              </w:rPr>
              <w:t xml:space="preserve">Thermography of AC terminations + transformer bushings under load</w:t>
            </w:r>
          </w:p>
        </w:tc>
        <w:tc>
          <w:tcPr>
            <w:tcW w:type="dxa" w:w="1800"/>
            <w:shd w:fill="EEF2F9" w:color="auto" w:val="clear"/>
            <w:tcMar>
              <w:top w:type="dxa" w:w="40"/>
              <w:left w:type="dxa" w:w="80"/>
              <w:bottom w:type="dxa" w:w="40"/>
              <w:right w:type="dxa" w:w="80"/>
            </w:tcMar>
          </w:tcPr>
          <w:p>
            <w:pPr>
              <w:spacing w:after="20" w:before="20"/>
            </w:pPr>
            <w:r>
              <w:rPr>
                <w:b w:val="false"/>
                <w:bCs w:val="false"/>
                <w:sz w:val="20"/>
                <w:szCs w:val="20"/>
              </w:rPr>
              <w:t xml:space="preserve">O&amp;M</w:t>
            </w:r>
          </w:p>
        </w:tc>
        <w:tc>
          <w:tcPr>
            <w:tcW w:type="dxa" w:w="1100"/>
            <w:shd w:fill="EEF2F9" w:color="auto" w:val="clear"/>
            <w:tcMar>
              <w:top w:type="dxa" w:w="40"/>
              <w:left w:type="dxa" w:w="80"/>
              <w:bottom w:type="dxa" w:w="40"/>
              <w:right w:type="dxa" w:w="80"/>
            </w:tcMar>
          </w:tcPr>
          <w:p>
            <w:pPr>
              <w:spacing w:after="20" w:before="20"/>
            </w:pPr>
            <w:r>
              <w:rPr>
                <w:b/>
                <w:bCs/>
                <w:color w:val="833C00"/>
                <w:sz w:val="20"/>
                <w:szCs w:val="20"/>
              </w:rPr>
              <w:t xml:space="preserve">Immediate</w:t>
            </w:r>
          </w:p>
        </w:tc>
      </w:tr>
      <w:tr>
        <w:tc>
          <w:tcPr>
            <w:tcW w:type="dxa" w:w="560"/>
            <w:shd w:fill="FFFFFF" w:color="auto" w:val="clear"/>
            <w:tcMar>
              <w:top w:type="dxa" w:w="40"/>
              <w:left w:type="dxa" w:w="80"/>
              <w:bottom w:type="dxa" w:w="40"/>
              <w:right w:type="dxa" w:w="80"/>
            </w:tcMar>
          </w:tcPr>
          <w:p>
            <w:pPr>
              <w:spacing w:after="20" w:before="20"/>
            </w:pPr>
            <w:r>
              <w:rPr>
                <w:b w:val="false"/>
                <w:bCs w:val="false"/>
                <w:sz w:val="20"/>
                <w:szCs w:val="20"/>
              </w:rPr>
              <w:t xml:space="preserve">3</w:t>
            </w:r>
          </w:p>
        </w:tc>
        <w:tc>
          <w:tcPr>
            <w:tcW w:type="dxa" w:w="5900"/>
            <w:shd w:fill="FFFFFF" w:color="auto" w:val="clear"/>
            <w:tcMar>
              <w:top w:type="dxa" w:w="40"/>
              <w:left w:type="dxa" w:w="80"/>
              <w:bottom w:type="dxa" w:w="40"/>
              <w:right w:type="dxa" w:w="80"/>
            </w:tcMar>
          </w:tcPr>
          <w:p>
            <w:pPr>
              <w:spacing w:after="20" w:before="20"/>
            </w:pPr>
            <w:r>
              <w:rPr>
                <w:b w:val="false"/>
                <w:bCs w:val="false"/>
                <w:sz w:val="20"/>
                <w:szCs w:val="20"/>
              </w:rPr>
              <w:t xml:space="preserve">Internal bus-duct inspection for moisture/tracking/salt; reseal, add heaters/breathers</w:t>
            </w:r>
          </w:p>
        </w:tc>
        <w:tc>
          <w:tcPr>
            <w:tcW w:type="dxa" w:w="1800"/>
            <w:shd w:fill="FFFFFF" w:color="auto" w:val="clear"/>
            <w:tcMar>
              <w:top w:type="dxa" w:w="40"/>
              <w:left w:type="dxa" w:w="80"/>
              <w:bottom w:type="dxa" w:w="40"/>
              <w:right w:type="dxa" w:w="80"/>
            </w:tcMar>
          </w:tcPr>
          <w:p>
            <w:pPr>
              <w:spacing w:after="20" w:before="20"/>
            </w:pPr>
            <w:r>
              <w:rPr>
                <w:b w:val="false"/>
                <w:bCs w:val="false"/>
                <w:sz w:val="20"/>
                <w:szCs w:val="20"/>
              </w:rPr>
              <w:t xml:space="preserve">O&amp;M / EPC</w:t>
            </w:r>
          </w:p>
        </w:tc>
        <w:tc>
          <w:tcPr>
            <w:tcW w:type="dxa" w:w="1100"/>
            <w:shd w:fill="FFFFFF" w:color="auto" w:val="clear"/>
            <w:tcMar>
              <w:top w:type="dxa" w:w="40"/>
              <w:left w:type="dxa" w:w="80"/>
              <w:bottom w:type="dxa" w:w="40"/>
              <w:right w:type="dxa" w:w="80"/>
            </w:tcMar>
          </w:tcPr>
          <w:p>
            <w:pPr>
              <w:spacing w:after="20" w:before="20"/>
            </w:pPr>
            <w:r>
              <w:rPr>
                <w:b w:val="false"/>
                <w:bCs w:val="false"/>
                <w:sz w:val="20"/>
                <w:szCs w:val="20"/>
              </w:rPr>
              <w:t xml:space="preserve">High</w:t>
            </w:r>
          </w:p>
        </w:tc>
      </w:tr>
      <w:tr>
        <w:tc>
          <w:tcPr>
            <w:tcW w:type="dxa" w:w="560"/>
            <w:shd w:fill="EEF2F9" w:color="auto" w:val="clear"/>
            <w:tcMar>
              <w:top w:type="dxa" w:w="40"/>
              <w:left w:type="dxa" w:w="80"/>
              <w:bottom w:type="dxa" w:w="40"/>
              <w:right w:type="dxa" w:w="80"/>
            </w:tcMar>
          </w:tcPr>
          <w:p>
            <w:pPr>
              <w:spacing w:after="20" w:before="20"/>
            </w:pPr>
            <w:r>
              <w:rPr>
                <w:b w:val="false"/>
                <w:bCs w:val="false"/>
                <w:sz w:val="20"/>
                <w:szCs w:val="20"/>
              </w:rPr>
              <w:t xml:space="preserve">4</w:t>
            </w:r>
          </w:p>
        </w:tc>
        <w:tc>
          <w:tcPr>
            <w:tcW w:type="dxa" w:w="5900"/>
            <w:shd w:fill="EEF2F9" w:color="auto" w:val="clear"/>
            <w:tcMar>
              <w:top w:type="dxa" w:w="40"/>
              <w:left w:type="dxa" w:w="80"/>
              <w:bottom w:type="dxa" w:w="40"/>
              <w:right w:type="dxa" w:w="80"/>
            </w:tcMar>
          </w:tcPr>
          <w:p>
            <w:pPr>
              <w:spacing w:after="20" w:before="20"/>
            </w:pPr>
            <w:r>
              <w:rPr>
                <w:b w:val="false"/>
                <w:bCs w:val="false"/>
                <w:sz w:val="20"/>
                <w:szCs w:val="20"/>
              </w:rPr>
              <w:t xml:space="preserve">Pull Micrologic Ig logs (timestamp + ground-current); correlate vs time/humidity/power</w:t>
            </w:r>
          </w:p>
        </w:tc>
        <w:tc>
          <w:tcPr>
            <w:tcW w:type="dxa" w:w="1800"/>
            <w:shd w:fill="EEF2F9" w:color="auto" w:val="clear"/>
            <w:tcMar>
              <w:top w:type="dxa" w:w="40"/>
              <w:left w:type="dxa" w:w="80"/>
              <w:bottom w:type="dxa" w:w="40"/>
              <w:right w:type="dxa" w:w="80"/>
            </w:tcMar>
          </w:tcPr>
          <w:p>
            <w:pPr>
              <w:spacing w:after="20" w:before="20"/>
            </w:pPr>
            <w:r>
              <w:rPr>
                <w:b w:val="false"/>
                <w:bCs w:val="false"/>
                <w:sz w:val="20"/>
                <w:szCs w:val="20"/>
              </w:rPr>
              <w:t xml:space="preserve">O&amp;M + Schneider</w:t>
            </w:r>
          </w:p>
        </w:tc>
        <w:tc>
          <w:tcPr>
            <w:tcW w:type="dxa" w:w="1100"/>
            <w:shd w:fill="EEF2F9" w:color="auto" w:val="clear"/>
            <w:tcMar>
              <w:top w:type="dxa" w:w="40"/>
              <w:left w:type="dxa" w:w="80"/>
              <w:bottom w:type="dxa" w:w="40"/>
              <w:right w:type="dxa" w:w="80"/>
            </w:tcMar>
          </w:tcPr>
          <w:p>
            <w:pPr>
              <w:spacing w:after="20" w:before="20"/>
            </w:pPr>
            <w:r>
              <w:rPr>
                <w:b w:val="false"/>
                <w:bCs w:val="false"/>
                <w:sz w:val="20"/>
                <w:szCs w:val="20"/>
              </w:rPr>
              <w:t xml:space="preserve">High</w:t>
            </w:r>
          </w:p>
        </w:tc>
      </w:tr>
      <w:tr>
        <w:tc>
          <w:tcPr>
            <w:tcW w:type="dxa" w:w="560"/>
            <w:shd w:fill="FFFFFF" w:color="auto" w:val="clear"/>
            <w:tcMar>
              <w:top w:type="dxa" w:w="40"/>
              <w:left w:type="dxa" w:w="80"/>
              <w:bottom w:type="dxa" w:w="40"/>
              <w:right w:type="dxa" w:w="80"/>
            </w:tcMar>
          </w:tcPr>
          <w:p>
            <w:pPr>
              <w:spacing w:after="20" w:before="20"/>
            </w:pPr>
            <w:r>
              <w:rPr>
                <w:b w:val="false"/>
                <w:bCs w:val="false"/>
                <w:sz w:val="20"/>
                <w:szCs w:val="20"/>
              </w:rPr>
              <w:t xml:space="preserve">5</w:t>
            </w:r>
          </w:p>
        </w:tc>
        <w:tc>
          <w:tcPr>
            <w:tcW w:type="dxa" w:w="5900"/>
            <w:shd w:fill="FFFFFF" w:color="auto" w:val="clear"/>
            <w:tcMar>
              <w:top w:type="dxa" w:w="40"/>
              <w:left w:type="dxa" w:w="80"/>
              <w:bottom w:type="dxa" w:w="40"/>
              <w:right w:type="dxa" w:w="80"/>
            </w:tcMar>
          </w:tcPr>
          <w:p>
            <w:pPr>
              <w:spacing w:after="20" w:before="20"/>
            </w:pPr>
            <w:r>
              <w:rPr>
                <w:b w:val="false"/>
                <w:bCs w:val="false"/>
                <w:sz w:val="20"/>
                <w:szCs w:val="20"/>
              </w:rPr>
              <w:t xml:space="preserve">Hold blanket Ig-disable; grading study &amp; re-coordinate Ig/tg after fault cleared</w:t>
            </w:r>
          </w:p>
        </w:tc>
        <w:tc>
          <w:tcPr>
            <w:tcW w:type="dxa" w:w="1800"/>
            <w:shd w:fill="FFFFFF" w:color="auto" w:val="clear"/>
            <w:tcMar>
              <w:top w:type="dxa" w:w="40"/>
              <w:left w:type="dxa" w:w="80"/>
              <w:bottom w:type="dxa" w:w="40"/>
              <w:right w:type="dxa" w:w="80"/>
            </w:tcMar>
          </w:tcPr>
          <w:p>
            <w:pPr>
              <w:spacing w:after="20" w:before="20"/>
            </w:pPr>
            <w:r>
              <w:rPr>
                <w:b w:val="false"/>
                <w:bCs w:val="false"/>
                <w:sz w:val="20"/>
                <w:szCs w:val="20"/>
              </w:rPr>
              <w:t xml:space="preserve">Protection consultant + Schneider</w:t>
            </w:r>
          </w:p>
        </w:tc>
        <w:tc>
          <w:tcPr>
            <w:tcW w:type="dxa" w:w="1100"/>
            <w:shd w:fill="FFFFFF" w:color="auto" w:val="clear"/>
            <w:tcMar>
              <w:top w:type="dxa" w:w="40"/>
              <w:left w:type="dxa" w:w="80"/>
              <w:bottom w:type="dxa" w:w="40"/>
              <w:right w:type="dxa" w:w="80"/>
            </w:tcMar>
          </w:tcPr>
          <w:p>
            <w:pPr>
              <w:spacing w:after="20" w:before="20"/>
            </w:pPr>
            <w:r>
              <w:rPr>
                <w:b w:val="false"/>
                <w:bCs w:val="false"/>
                <w:sz w:val="20"/>
                <w:szCs w:val="20"/>
              </w:rPr>
              <w:t xml:space="preserve">High</w:t>
            </w:r>
          </w:p>
        </w:tc>
      </w:tr>
      <w:tr>
        <w:tc>
          <w:tcPr>
            <w:tcW w:type="dxa" w:w="560"/>
            <w:shd w:fill="EEF2F9" w:color="auto" w:val="clear"/>
            <w:tcMar>
              <w:top w:type="dxa" w:w="40"/>
              <w:left w:type="dxa" w:w="80"/>
              <w:bottom w:type="dxa" w:w="40"/>
              <w:right w:type="dxa" w:w="80"/>
            </w:tcMar>
          </w:tcPr>
          <w:p>
            <w:pPr>
              <w:spacing w:after="20" w:before="20"/>
            </w:pPr>
            <w:r>
              <w:rPr>
                <w:b w:val="false"/>
                <w:bCs w:val="false"/>
                <w:sz w:val="20"/>
                <w:szCs w:val="20"/>
              </w:rPr>
              <w:t xml:space="preserve">6</w:t>
            </w:r>
          </w:p>
        </w:tc>
        <w:tc>
          <w:tcPr>
            <w:tcW w:type="dxa" w:w="5900"/>
            <w:shd w:fill="EEF2F9" w:color="auto" w:val="clear"/>
            <w:tcMar>
              <w:top w:type="dxa" w:w="40"/>
              <w:left w:type="dxa" w:w="80"/>
              <w:bottom w:type="dxa" w:w="40"/>
              <w:right w:type="dxa" w:w="80"/>
            </w:tcMar>
          </w:tcPr>
          <w:p>
            <w:pPr>
              <w:spacing w:after="20" w:before="20"/>
            </w:pPr>
            <w:r>
              <w:rPr>
                <w:b w:val="false"/>
                <w:bCs w:val="false"/>
                <w:sz w:val="20"/>
                <w:szCs w:val="20"/>
              </w:rPr>
              <w:t xml:space="preserve">Verify inverter LVRT / anti-islanding / Riso settings vs spec</w:t>
            </w:r>
          </w:p>
        </w:tc>
        <w:tc>
          <w:tcPr>
            <w:tcW w:type="dxa" w:w="1800"/>
            <w:shd w:fill="EEF2F9" w:color="auto" w:val="clear"/>
            <w:tcMar>
              <w:top w:type="dxa" w:w="40"/>
              <w:left w:type="dxa" w:w="80"/>
              <w:bottom w:type="dxa" w:w="40"/>
              <w:right w:type="dxa" w:w="80"/>
            </w:tcMar>
          </w:tcPr>
          <w:p>
            <w:pPr>
              <w:spacing w:after="20" w:before="20"/>
            </w:pPr>
            <w:r>
              <w:rPr>
                <w:b w:val="false"/>
                <w:bCs w:val="false"/>
                <w:sz w:val="20"/>
                <w:szCs w:val="20"/>
              </w:rPr>
              <w:t xml:space="preserve">Sungrow</w:t>
            </w:r>
          </w:p>
        </w:tc>
        <w:tc>
          <w:tcPr>
            <w:tcW w:type="dxa" w:w="1100"/>
            <w:shd w:fill="EEF2F9" w:color="auto" w:val="clear"/>
            <w:tcMar>
              <w:top w:type="dxa" w:w="40"/>
              <w:left w:type="dxa" w:w="80"/>
              <w:bottom w:type="dxa" w:w="40"/>
              <w:right w:type="dxa" w:w="80"/>
            </w:tcMar>
          </w:tcPr>
          <w:p>
            <w:pPr>
              <w:spacing w:after="20" w:before="20"/>
            </w:pPr>
            <w:r>
              <w:rPr>
                <w:b w:val="false"/>
                <w:bCs w:val="false"/>
                <w:sz w:val="20"/>
                <w:szCs w:val="20"/>
              </w:rPr>
              <w:t xml:space="preserve">Medium</w:t>
            </w:r>
          </w:p>
        </w:tc>
      </w:tr>
      <w:tr>
        <w:tc>
          <w:tcPr>
            <w:tcW w:type="dxa" w:w="560"/>
            <w:shd w:fill="FFFFFF" w:color="auto" w:val="clear"/>
            <w:tcMar>
              <w:top w:type="dxa" w:w="40"/>
              <w:left w:type="dxa" w:w="80"/>
              <w:bottom w:type="dxa" w:w="40"/>
              <w:right w:type="dxa" w:w="80"/>
            </w:tcMar>
          </w:tcPr>
          <w:p>
            <w:pPr>
              <w:spacing w:after="20" w:before="20"/>
            </w:pPr>
            <w:r>
              <w:rPr>
                <w:b w:val="false"/>
                <w:bCs w:val="false"/>
                <w:sz w:val="20"/>
                <w:szCs w:val="20"/>
              </w:rPr>
              <w:t xml:space="preserve">7</w:t>
            </w:r>
          </w:p>
        </w:tc>
        <w:tc>
          <w:tcPr>
            <w:tcW w:type="dxa" w:w="5900"/>
            <w:shd w:fill="FFFFFF" w:color="auto" w:val="clear"/>
            <w:tcMar>
              <w:top w:type="dxa" w:w="40"/>
              <w:left w:type="dxa" w:w="80"/>
              <w:bottom w:type="dxa" w:w="40"/>
              <w:right w:type="dxa" w:w="80"/>
            </w:tcMar>
          </w:tcPr>
          <w:p>
            <w:pPr>
              <w:spacing w:after="20" w:before="20"/>
            </w:pPr>
            <w:r>
              <w:rPr>
                <w:b w:val="false"/>
                <w:bCs w:val="false"/>
                <w:sz w:val="20"/>
                <w:szCs w:val="20"/>
              </w:rPr>
              <w:t xml:space="preserve">Confirm earthing continuity &amp; neutral-earthing of transformer star point</w:t>
            </w:r>
          </w:p>
        </w:tc>
        <w:tc>
          <w:tcPr>
            <w:tcW w:type="dxa" w:w="1800"/>
            <w:shd w:fill="FFFFFF" w:color="auto" w:val="clear"/>
            <w:tcMar>
              <w:top w:type="dxa" w:w="40"/>
              <w:left w:type="dxa" w:w="80"/>
              <w:bottom w:type="dxa" w:w="40"/>
              <w:right w:type="dxa" w:w="80"/>
            </w:tcMar>
          </w:tcPr>
          <w:p>
            <w:pPr>
              <w:spacing w:after="20" w:before="20"/>
            </w:pPr>
            <w:r>
              <w:rPr>
                <w:b w:val="false"/>
                <w:bCs w:val="false"/>
                <w:sz w:val="20"/>
                <w:szCs w:val="20"/>
              </w:rPr>
              <w:t xml:space="preserve">O&amp;M / EPC</w:t>
            </w:r>
          </w:p>
        </w:tc>
        <w:tc>
          <w:tcPr>
            <w:tcW w:type="dxa" w:w="1100"/>
            <w:shd w:fill="FFFFFF" w:color="auto" w:val="clear"/>
            <w:tcMar>
              <w:top w:type="dxa" w:w="40"/>
              <w:left w:type="dxa" w:w="80"/>
              <w:bottom w:type="dxa" w:w="40"/>
              <w:right w:type="dxa" w:w="80"/>
            </w:tcMar>
          </w:tcPr>
          <w:p>
            <w:pPr>
              <w:spacing w:after="20" w:before="20"/>
            </w:pPr>
            <w:r>
              <w:rPr>
                <w:b w:val="false"/>
                <w:bCs w:val="false"/>
                <w:sz w:val="20"/>
                <w:szCs w:val="20"/>
              </w:rPr>
              <w:t xml:space="preserve">Medium</w:t>
            </w:r>
          </w:p>
        </w:tc>
      </w:tr>
    </w:tbl>
    <w:p>
      <w:pPr>
        <w:pStyle w:val="Heading1"/>
        <w:spacing w:after="120" w:before="240"/>
      </w:pPr>
      <w:r>
        <w:rPr>
          <w:b/>
          <w:bCs/>
          <w:color w:val="1F3864"/>
          <w:sz w:val="28"/>
          <w:szCs w:val="28"/>
        </w:rPr>
        <w:t xml:space="preserve">9.  Conclusion (double-verified)</w:t>
      </w:r>
    </w:p>
    <w:p>
      <w:pPr>
        <w:pStyle w:val="ListParagraph"/>
        <w:numPr>
          <w:ilvl w:val="0"/>
          <w:numId w:val="2"/>
        </w:numPr>
        <w:spacing w:after="60" w:line="272"/>
      </w:pPr>
      <w:r>
        <w:rPr>
          <w:b/>
          <w:bCs/>
          <w:i w:val="false"/>
          <w:iCs w:val="false"/>
          <w:sz w:val="21"/>
          <w:szCs w:val="21"/>
        </w:rPr>
        <w:t xml:space="preserve">Breaker &amp; Micrologic: </w:t>
      </w:r>
      <w:r>
        <w:rPr>
          <w:b w:val="false"/>
          <w:bCs w:val="false"/>
          <w:i w:val="false"/>
          <w:iCs w:val="false"/>
          <w:sz w:val="21"/>
          <w:szCs w:val="21"/>
        </w:rPr>
        <w:t xml:space="preserve">healthy (NFP; two units agree). Not a nuisance trip. </w:t>
      </w:r>
      <w:r>
        <w:rPr>
          <w:b/>
          <w:bCs/>
          <w:i w:val="false"/>
          <w:iCs w:val="false"/>
          <w:color w:val="375623"/>
          <w:sz w:val="21"/>
          <w:szCs w:val="21"/>
        </w:rPr>
        <w:t xml:space="preserve">[VERIFIED]</w:t>
      </w:r>
    </w:p>
    <w:p>
      <w:pPr>
        <w:pStyle w:val="ListParagraph"/>
        <w:numPr>
          <w:ilvl w:val="0"/>
          <w:numId w:val="2"/>
        </w:numPr>
        <w:spacing w:after="60" w:line="272"/>
      </w:pPr>
      <w:r>
        <w:rPr>
          <w:b/>
          <w:bCs/>
          <w:i w:val="false"/>
          <w:iCs w:val="false"/>
          <w:sz w:val="21"/>
          <w:szCs w:val="21"/>
        </w:rPr>
        <w:t xml:space="preserve">Inverter OV / 46.1 Hz / islanding: </w:t>
      </w:r>
      <w:r>
        <w:rPr>
          <w:b w:val="false"/>
          <w:bCs w:val="false"/>
          <w:i w:val="false"/>
          <w:iCs w:val="false"/>
          <w:sz w:val="21"/>
          <w:szCs w:val="21"/>
        </w:rPr>
        <w:t xml:space="preserve">consequential to the ACB opening (load-rejection transient of a grid-following inverter). </w:t>
      </w:r>
      <w:r>
        <w:rPr>
          <w:b/>
          <w:bCs/>
          <w:i w:val="false"/>
          <w:iCs w:val="false"/>
          <w:color w:val="375623"/>
          <w:sz w:val="21"/>
          <w:szCs w:val="21"/>
        </w:rPr>
        <w:t xml:space="preserve">[VERIFIED]</w:t>
      </w:r>
    </w:p>
    <w:p>
      <w:pPr>
        <w:pStyle w:val="ListParagraph"/>
        <w:numPr>
          <w:ilvl w:val="0"/>
          <w:numId w:val="2"/>
        </w:numPr>
        <w:spacing w:after="60" w:line="272"/>
      </w:pPr>
      <w:r>
        <w:rPr>
          <w:b/>
          <w:bCs/>
          <w:i w:val="false"/>
          <w:iCs w:val="false"/>
          <w:sz w:val="21"/>
          <w:szCs w:val="21"/>
        </w:rPr>
        <w:t xml:space="preserve">Root cause: </w:t>
      </w:r>
      <w:r>
        <w:rPr>
          <w:b w:val="false"/>
          <w:bCs w:val="false"/>
          <w:i w:val="false"/>
          <w:iCs w:val="false"/>
          <w:sz w:val="21"/>
          <w:szCs w:val="21"/>
        </w:rPr>
        <w:t xml:space="preserve">a genuine, intermittent R-phase AC-side earth fault (most likely moisture/condensation-driven insulation tracking in bus duct / transformer LV / switchgear), correctly detected by the Ig element. </w:t>
      </w:r>
      <w:r>
        <w:rPr>
          <w:b/>
          <w:bCs/>
          <w:i w:val="false"/>
          <w:iCs w:val="false"/>
          <w:color w:val="2E5496"/>
          <w:sz w:val="21"/>
          <w:szCs w:val="21"/>
        </w:rPr>
        <w:t xml:space="preserve">[INFERENCE]</w:t>
      </w:r>
    </w:p>
    <w:p>
      <w:pPr>
        <w:pStyle w:val="ListParagraph"/>
        <w:numPr>
          <w:ilvl w:val="0"/>
          <w:numId w:val="2"/>
        </w:numPr>
        <w:spacing w:after="60" w:line="272"/>
      </w:pPr>
      <w:r>
        <w:rPr>
          <w:b/>
          <w:bCs/>
          <w:i w:val="false"/>
          <w:iCs w:val="false"/>
          <w:sz w:val="21"/>
          <w:szCs w:val="21"/>
        </w:rPr>
        <w:t xml:space="preserve">Not yet done: </w:t>
      </w:r>
      <w:r>
        <w:rPr>
          <w:b w:val="false"/>
          <w:bCs w:val="false"/>
          <w:i w:val="false"/>
          <w:iCs w:val="false"/>
          <w:sz w:val="21"/>
          <w:szCs w:val="21"/>
        </w:rPr>
        <w:t xml:space="preserve">the fault has not been physically located — the 10-Sep connection check (tightness only) does not clear an intermittent insulation fault. </w:t>
      </w:r>
      <w:r>
        <w:rPr>
          <w:b/>
          <w:bCs/>
          <w:i w:val="false"/>
          <w:iCs w:val="false"/>
          <w:color w:val="833C00"/>
          <w:sz w:val="21"/>
          <w:szCs w:val="21"/>
        </w:rPr>
        <w:t xml:space="preserve">[OPEN]</w:t>
      </w:r>
    </w:p>
    <w:p>
      <w:pPr>
        <w:pStyle w:val="ListParagraph"/>
        <w:numPr>
          <w:ilvl w:val="0"/>
          <w:numId w:val="2"/>
        </w:numPr>
        <w:spacing w:after="60" w:line="272"/>
      </w:pPr>
      <w:r>
        <w:rPr>
          <w:b/>
          <w:bCs/>
          <w:i w:val="false"/>
          <w:iCs w:val="false"/>
          <w:sz w:val="21"/>
          <w:szCs w:val="21"/>
        </w:rPr>
        <w:t xml:space="preserve">Request to disable Ig: </w:t>
      </w:r>
      <w:r>
        <w:rPr>
          <w:b w:val="false"/>
          <w:bCs w:val="false"/>
          <w:i w:val="false"/>
          <w:iCs w:val="false"/>
          <w:sz w:val="21"/>
          <w:szCs w:val="21"/>
        </w:rPr>
        <w:t xml:space="preserve">not endorsed. Locate and fix the earth fault, then re-coordinate the Ig setting; do not remove earth-fault protection. </w:t>
      </w:r>
      <w:r>
        <w:rPr>
          <w:b/>
          <w:bCs/>
          <w:i w:val="false"/>
          <w:iCs w:val="false"/>
          <w:color w:val="1F3864"/>
          <w:sz w:val="21"/>
          <w:szCs w:val="21"/>
        </w:rPr>
        <w:t xml:space="preserve">[DECISION]</w:t>
      </w:r>
    </w:p>
    <w:p>
      <w:pPr>
        <w:spacing w:after="120"/>
      </w:pPr>
    </w:p>
    <w:p>
      <w:pPr>
        <w:spacing w:after="100" w:line="276"/>
      </w:pPr>
      <w:r>
        <w:rPr>
          <w:b w:val="false"/>
          <w:bCs w:val="false"/>
          <w:i/>
          <w:iCs/>
          <w:color w:val="595959"/>
          <w:sz w:val="18"/>
          <w:szCs w:val="18"/>
        </w:rPr>
        <w:t xml:space="preserve">Prepared from the three vendor documents (Schneider 24-Jul-2026; Sungrow 09-Sep-2026 and 15-Sep-2026). Findings tagged [VERIFIED] / [INFERENCE] / [OPEN]; each verified item is supported by two independent data sources per the cross-check register in §4.</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6"/>
        <w:szCs w:val="16"/>
      </w:rPr>
      <w:t xml:space="preserve">Confidential — Engineering RCA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RCA — ACB 3.1 Ig-Fault Trip  |  Essens Renewable / Amplus  |  Case CC202526C13E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20" w:hanging="280"/>
      </w:pPr>
    </w:lvl>
  </w:abstractNum>
  <w:abstractNum w:abstractNumId="4" w15:restartNumberingAfterBreak="0">
    <w:multiLevelType w:val="hybridMultilevel"/>
    <w:lvl w:ilvl="0" w15:tentative="1">
      <w:start w:val="1"/>
      <w:numFmt w:val="decimal"/>
      <w:lvlText w:val="%1."/>
      <w:lvlJc w:val="left"/>
      <w:pPr>
        <w:ind w:left="420" w:hanging="280"/>
      </w:pPr>
    </w:lvl>
  </w:abstractNum>
  <w:abstractNum w:abstractNumId="5"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RCA — ACB 3.1 Ig-Fault Trip</dc:title>
  <dc:creator>Essens Renewable — Engineering</dc:creator>
  <dc:description>Root Cause Analysis of repeated Ig ground-fault tripping of ACB 3.1</dc:description>
  <cp:lastModifiedBy>Un-named</cp:lastModifiedBy>
  <cp:revision>1</cp:revision>
  <dcterms:created xsi:type="dcterms:W3CDTF">2026-09-16T08:57:08.655Z</dcterms:created>
  <dcterms:modified xsi:type="dcterms:W3CDTF">2026-09-16T08:57:08.656Z</dcterms:modified>
</cp:coreProperties>
</file>

<file path=docProps/custom.xml><?xml version="1.0" encoding="utf-8"?>
<Properties xmlns="http://schemas.openxmlformats.org/officeDocument/2006/custom-properties" xmlns:vt="http://schemas.openxmlformats.org/officeDocument/2006/docPropsVTypes"/>
</file>