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CoinChangeUsingDp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CoinChangeUsingDp(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amount)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coins;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amount;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[coins.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][amount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NumberOfWaysPrint()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&lt;= j)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]];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tabulation form output is 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"Number of ways of coin change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amount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CoinChangeNumberOfWays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CoinChangeUsingDp coinChange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CoinChangeUsingDp(coins,amount);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coinChange.NumberOfWaysPrint();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