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b/>
          <w:bCs/>
          <w:color w:val="0B7A75"/>
          <w:spacing w:val="40"/>
          <w:sz w:val="20"/>
          <w:szCs w:val="20"/>
        </w:rPr>
        <w:t xml:space="preserve">RESEARCH &amp; STRATEGY BRIEF</w:t>
      </w:r>
    </w:p>
    <w:p>
      <w:pPr>
        <w:pBdr>
          <w:bottom w:val="single" w:color="0B7A75" w:sz="12" w:space="2"/>
        </w:pBdr>
        <w:spacing w:after="60"/>
      </w:pPr>
      <w:r>
        <w:rPr>
          <w:sz w:val="2"/>
          <w:szCs w:val="2"/>
        </w:rPr>
        <w:t xml:space="preserve"/>
      </w:r>
    </w:p>
    <w:p>
      <w:pPr>
        <w:spacing w:after="80" w:before="220"/>
      </w:pPr>
      <w:r>
        <w:rPr>
          <w:b/>
          <w:bCs/>
          <w:color w:val="1A1A2E"/>
          <w:sz w:val="48"/>
          <w:szCs w:val="48"/>
        </w:rPr>
        <w:t xml:space="preserve">AI-Driven Functional Electrical Stimulation for Movement Restoration</w:t>
      </w:r>
    </w:p>
    <w:p>
      <w:pPr>
        <w:spacing w:after="220"/>
      </w:pPr>
      <w:r>
        <w:rPr>
          <w:i/>
          <w:iCs/>
          <w:color w:val="5A5A6E"/>
          <w:sz w:val="24"/>
          <w:szCs w:val="24"/>
        </w:rPr>
        <w:t xml:space="preserve">Repurposing a neuromuscular actuation stack from hackathon demo to a healthcare venture — market, medical evidence, feasibility, and a recommended direction.</w:t>
      </w:r>
    </w:p>
    <w:tbl>
      <w:tblPr>
        <w:tblW w:type="dxa" w:w="9360"/>
        <w:tblBorders>
          <w:top w:val="single" w:color="C9D6D4" w:sz="4"/>
          <w:left w:val="none"/>
          <w:bottom w:val="single" w:color="C9D6D4" w:sz="4"/>
          <w:right w:val="none"/>
          <w:insideH w:val="single" w:color="C9D6D4" w:sz="2"/>
          <w:insideV w:val="none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0B7A7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shd w:fill="0B7A7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Prepared for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Faisal &amp; team</w:t>
            </w:r>
          </w:p>
        </w:tc>
      </w:tr>
      <w:tr>
        <w:tc>
          <w:tcPr>
            <w:tcW w:type="dxa" w:w="2600"/>
            <w:shd w:fill="EAF3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Domain</w:t>
            </w:r>
          </w:p>
        </w:tc>
        <w:tc>
          <w:tcPr>
            <w:tcW w:type="dxa" w:w="6760"/>
            <w:shd w:fill="EAF3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Healthcare — neurorehabilitation / assistive neurotech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Geographic scope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Global (with regional notes)</w:t>
            </w:r>
          </w:p>
        </w:tc>
      </w:tr>
      <w:tr>
        <w:tc>
          <w:tcPr>
            <w:tcW w:type="dxa" w:w="2600"/>
            <w:shd w:fill="EAF3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Intended use</w:t>
            </w:r>
          </w:p>
        </w:tc>
        <w:tc>
          <w:tcPr>
            <w:tcW w:type="dxa" w:w="6760"/>
            <w:shd w:fill="EAF3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Hackathon pitch (judges incl. VCs; grand prize: guaranteed YC interview)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Date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23 July 2026</w:t>
            </w:r>
          </w:p>
        </w:tc>
      </w:tr>
      <w:tr>
        <w:tc>
          <w:tcPr>
            <w:tcW w:type="dxa" w:w="2600"/>
            <w:shd w:fill="EAF3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Status</w:t>
            </w:r>
          </w:p>
        </w:tc>
        <w:tc>
          <w:tcPr>
            <w:tcW w:type="dxa" w:w="6760"/>
            <w:shd w:fill="EAF3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Research phase — direction to be confirmed before deck build</w:t>
            </w:r>
          </w:p>
        </w:tc>
      </w:tr>
    </w:tbl>
    <w:p>
      <w:pPr>
        <w:spacing w:before="300"/>
      </w:pPr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A1A2E"/>
          <w:sz w:val="30"/>
          <w:szCs w:val="30"/>
        </w:rPr>
        <w:t xml:space="preserve">Executive summary</w:t>
      </w:r>
    </w:p>
    <w:p>
      <w:pPr>
        <w:spacing w:after="130" w:line="276"/>
        <w:jc w:val="both"/>
      </w:pPr>
      <w:r>
        <w:rPr>
          <w:color w:val="1A1A2E"/>
          <w:sz w:val="21"/>
          <w:szCs w:val="21"/>
        </w:rPr>
        <w:t xml:space="preserve">Your hackathon project actuated a human arm with surface electrical stimulation driven by an AI vision model — forcing a finger to pull a trigger when a target appeared on screen. Stripped of the game, that is a </w:t>
      </w:r>
      <w:r>
        <w:rPr>
          <w:b/>
          <w:bCs/>
          <w:color w:val="1A1A2E"/>
          <w:sz w:val="21"/>
          <w:szCs w:val="21"/>
        </w:rPr>
        <w:t xml:space="preserve">closed-loop, AI-controlled functional electrical stimulation (FES) system</w:t>
      </w:r>
      <w:r>
        <w:rPr>
          <w:color w:val="1A1A2E"/>
          <w:sz w:val="21"/>
          <w:szCs w:val="21"/>
        </w:rPr>
        <w:t xml:space="preserve">: read intent or context, decide, and drive the person’s own muscles to produce a purposeful movement. That is precisely the architecture behind a real and growing class of neurorehabilitation devices.</w:t>
      </w:r>
    </w:p>
    <w:p>
      <w:pPr>
        <w:spacing w:after="130" w:line="276"/>
        <w:jc w:val="both"/>
      </w:pPr>
      <w:r>
        <w:rPr>
          <w:color w:val="1A1A2E"/>
          <w:sz w:val="21"/>
          <w:szCs w:val="21"/>
        </w:rPr>
        <w:t xml:space="preserve">The single most important finding for your strategy is a </w:t>
      </w:r>
      <w:r>
        <w:rPr>
          <w:b/>
          <w:bCs/>
          <w:color w:val="1A1A2E"/>
          <w:sz w:val="21"/>
          <w:szCs w:val="21"/>
        </w:rPr>
        <w:t xml:space="preserve">feasibility boundary rooted in neurophysiology</w:t>
      </w:r>
      <w:r>
        <w:rPr>
          <w:color w:val="1A1A2E"/>
          <w:sz w:val="21"/>
          <w:szCs w:val="21"/>
        </w:rPr>
        <w:t xml:space="preserve">. Surface FES only works when the nerve-to-muscle wiring (the lower motor neuron) is intact and it is the </w:t>
      </w:r>
      <w:r>
        <w:rPr>
          <w:i/>
          <w:iCs/>
          <w:color w:val="1A1A2E"/>
          <w:sz w:val="21"/>
          <w:szCs w:val="21"/>
        </w:rPr>
        <w:t xml:space="preserve">brain’s</w:t>
      </w:r>
      <w:r>
        <w:rPr>
          <w:color w:val="1A1A2E"/>
          <w:sz w:val="21"/>
          <w:szCs w:val="21"/>
        </w:rPr>
        <w:t xml:space="preserve"> command pathway that is damaged — i.e. </w:t>
      </w:r>
      <w:r>
        <w:rPr>
          <w:b/>
          <w:bCs/>
          <w:color w:val="1A1A2E"/>
          <w:sz w:val="21"/>
          <w:szCs w:val="21"/>
        </w:rPr>
        <w:t xml:space="preserve">upper motor neuron</w:t>
      </w:r>
      <w:r>
        <w:rPr>
          <w:color w:val="1A1A2E"/>
          <w:sz w:val="21"/>
          <w:szCs w:val="21"/>
        </w:rPr>
        <w:t xml:space="preserve"> injuries such as stroke and most spinal cord injury (SCI). Your “restore an arm whose nerves are damaged, without a prosthetic” idea, </w:t>
      </w:r>
      <w:r>
        <w:rPr>
          <w:i/>
          <w:iCs/>
          <w:color w:val="1A1A2E"/>
          <w:sz w:val="21"/>
          <w:szCs w:val="21"/>
        </w:rPr>
        <w:t xml:space="preserve">if the damage is peripheral (a denervated muscle)</w:t>
      </w:r>
      <w:r>
        <w:rPr>
          <w:color w:val="1A1A2E"/>
          <w:sz w:val="21"/>
          <w:szCs w:val="21"/>
        </w:rPr>
        <w:t xml:space="preserve">, is a fundamentally harder physics problem: the muscle stops responding to nerve stimulation and requires very high-intensity, often painful direct stimulation while it degrades into fibro-fatty tissue.</w:t>
      </w:r>
      <w:r>
        <w:rPr>
          <w:color w:val="0B7A75"/>
          <w:sz w:val="14"/>
          <w:szCs w:val="14"/>
          <w:vertAlign w:val="superscript"/>
        </w:rPr>
        <w:t xml:space="preserve"> [9]</w:t>
      </w:r>
    </w:p>
    <w:tbl>
      <w:tblPr>
        <w:tblW w:type="dxa" w:w="9360"/>
        <w:tblBorders>
          <w:top w:val="none"/>
          <w:left w:val="single" w:color="0B7A75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3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B7A75"/>
                <w:sz w:val="20"/>
                <w:szCs w:val="20"/>
              </w:rPr>
              <w:t xml:space="preserve">Bottom-line recommendation</w:t>
            </w:r>
          </w:p>
          <w:p>
            <w:pPr>
              <w:spacing w:line="270"/>
            </w:pPr>
            <w:r>
              <w:rPr>
                <w:color w:val="1A1A2E"/>
                <w:sz w:val="21"/>
                <w:szCs w:val="21"/>
              </w:rPr>
              <w:t xml:space="preserve">Lead with AI/EMG-driven closed-loop FES for </w:t>
            </w:r>
            <w:r>
              <w:rPr>
                <w:b/>
                <w:bCs/>
                <w:color w:val="1A1A2E"/>
                <w:sz w:val="21"/>
                <w:szCs w:val="21"/>
              </w:rPr>
              <w:t xml:space="preserve">hand and upper-limb recovery after stroke</w:t>
            </w:r>
            <w:r>
              <w:rPr>
                <w:color w:val="1A1A2E"/>
                <w:sz w:val="21"/>
                <w:szCs w:val="21"/>
              </w:rPr>
              <w:t xml:space="preserve"> as the beachhead, with cervical SCI as the adjacent second market. This is the direction where the science works, the market is enormous (&gt;100M stroke survivors globally, ~$890B/yr), the standard of care is failing on </w:t>
            </w:r>
            <w:r>
              <w:rPr>
                <w:i/>
                <w:iCs/>
                <w:color w:val="1A1A2E"/>
                <w:sz w:val="21"/>
                <w:szCs w:val="21"/>
              </w:rPr>
              <w:t xml:space="preserve">access and dose</w:t>
            </w:r>
            <w:r>
              <w:rPr>
                <w:color w:val="1A1A2E"/>
                <w:sz w:val="21"/>
                <w:szCs w:val="21"/>
              </w:rPr>
              <w:t xml:space="preserve">, and your specific edge — autonomous, affordable, intent-driven stimulation — attacks the exact weakness of today’s devices. Treat the peripheral-nerve “no prosthetic” concept as a compelling long-term vision slide, not the core product.</w:t>
            </w:r>
          </w:p>
        </w:tc>
      </w:tr>
    </w:tbl>
    <w:p>
      <w:pPr>
        <w:spacing w:after="130" w:line="276"/>
        <w:jc w:val="both"/>
      </w:pPr>
      <w:r>
        <w:rPr>
          <w:color w:val="1A1A2E"/>
          <w:sz w:val="21"/>
          <w:szCs w:val="21"/>
        </w:rPr>
        <w:t xml:space="preserve"> </w:t>
      </w:r>
    </w:p>
    <w:p>
      <w:pPr>
        <w:spacing w:after="130" w:line="276"/>
        <w:jc w:val="both"/>
      </w:pPr>
      <w:r>
        <w:rPr>
          <w:color w:val="5A5A6E"/>
          <w:sz w:val="21"/>
          <w:szCs w:val="21"/>
        </w:rPr>
        <w:t xml:space="preserve">This brief sets out the clinical evidence, the global patient and market numbers, the competitive landscape, an honest feasibility read on your hardware, and a recommended direction with the venture logic a YC-style audience will look for.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A1A2E"/>
          <w:sz w:val="30"/>
          <w:szCs w:val="30"/>
        </w:rPr>
        <w:t xml:space="preserve">1. From demo to product: what you actually built</w:t>
      </w:r>
    </w:p>
    <w:p>
      <w:pPr>
        <w:spacing w:after="130" w:line="276"/>
        <w:jc w:val="both"/>
      </w:pPr>
      <w:r>
        <w:rPr>
          <w:color w:val="1A1A2E"/>
          <w:sz w:val="21"/>
          <w:szCs w:val="21"/>
        </w:rPr>
        <w:t xml:space="preserve">The original build (“Neuromuscular Aim Assistant”) chained four things: a vision model detecting a target, a decision, a wireless command to a microcontroller, and galvanically-isolated relays firing a battery-powered TENS/FES unit through surface electrodes to contract a specific muscle — all wrapped in hard safety invariants (normally-open relays, a firmware watchdog, capped burst duration, a physical kill switch, current never crossing the chest).</w:t>
      </w:r>
    </w:p>
    <w:p>
      <w:pPr>
        <w:spacing w:after="130" w:line="276"/>
        <w:jc w:val="both"/>
      </w:pPr>
      <w:r>
        <w:rPr>
          <w:color w:val="1A1A2E"/>
          <w:sz w:val="21"/>
          <w:szCs w:val="21"/>
        </w:rPr>
        <w:t xml:space="preserve">Rotate the input from “what’s on the game screen” to “what the patient is trying to do,” and the same loop becomes a therapy device. The clinically-validated pattern is: </w:t>
      </w:r>
      <w:r>
        <w:rPr>
          <w:b/>
          <w:bCs/>
          <w:color w:val="1A1A2E"/>
          <w:sz w:val="21"/>
          <w:szCs w:val="21"/>
        </w:rPr>
        <w:t xml:space="preserve">detect movement intent (from residual EMG, motion, or brain signal) → stimulate the correct muscles in the correct sequence to complete the movement</w:t>
      </w:r>
      <w:r>
        <w:rPr>
          <w:color w:val="1A1A2E"/>
          <w:sz w:val="21"/>
          <w:szCs w:val="21"/>
        </w:rPr>
        <w:t xml:space="preserve">. Repeated, intent-linked stimulation is what drives neuroplastic re-learning — the brain re-associates “I meant to open my hand” with “my hand opened.” Your safety-first, low-cost, wireless architecture is unusually well-suited to this.</w:t>
      </w:r>
    </w:p>
    <w:tbl>
      <w:tblPr>
        <w:tblW w:type="dxa" w:w="9360"/>
        <w:tblBorders>
          <w:top w:val="none"/>
          <w:left w:val="single" w:color="0B7A75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3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B7A75"/>
                <w:sz w:val="20"/>
                <w:szCs w:val="20"/>
              </w:rPr>
              <w:t xml:space="preserve">Why your team is credible here (say this to judges)</w:t>
            </w:r>
          </w:p>
          <w:p>
            <w:pPr>
              <w:spacing w:line="270"/>
            </w:pPr>
            <w:r>
              <w:rPr>
                <w:color w:val="1A1A2E"/>
                <w:sz w:val="21"/>
                <w:szCs w:val="21"/>
              </w:rPr>
              <w:t xml:space="preserve">You have already solved the scary part — safely driving a human muscle in a closed loop with an AI in the decision path, with hardware fail-safes. Most neurorehab startups spend a year getting to a safe, demoable stimulation loop. You have one. The pivot is about pointing it at a problem worth solving.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A1A2E"/>
          <w:sz w:val="30"/>
          <w:szCs w:val="30"/>
        </w:rPr>
        <w:t xml:space="preserve">2. The feasibility boundary that decides your direction</w:t>
      </w:r>
    </w:p>
    <w:p>
      <w:pPr>
        <w:spacing w:after="130" w:line="276"/>
        <w:jc w:val="both"/>
      </w:pPr>
      <w:r>
        <w:rPr>
          <w:color w:val="1A1A2E"/>
          <w:sz w:val="21"/>
          <w:szCs w:val="21"/>
        </w:rPr>
        <w:t xml:space="preserve">Whether FES can move a limb depends entirely on which part of the nervous system is broken. This is not a detail — it separates your two ideas into “works today” and “research frontier.”</w:t>
      </w:r>
    </w:p>
    <w:tbl>
      <w:tblPr>
        <w:tblW w:type="dxa" w:w="9360"/>
        <w:tblBorders>
          <w:top w:val="single" w:color="C9D6D4" w:sz="4"/>
          <w:left w:val="none"/>
          <w:bottom w:val="single" w:color="C9D6D4" w:sz="4"/>
          <w:right w:val="none"/>
          <w:insideH w:val="single" w:color="C9D6D4" w:sz="2"/>
          <w:insideV w:val="none"/>
        </w:tblBorders>
      </w:tblPr>
      <w:tblGrid>
        <w:gridCol w:w="2350"/>
        <w:gridCol w:w="2550"/>
        <w:gridCol w:w="2560"/>
        <w:gridCol w:w="1900"/>
      </w:tblGrid>
      <w:tr>
        <w:trPr>
          <w:tblHeader/>
        </w:trPr>
        <w:tc>
          <w:tcPr>
            <w:tcW w:type="dxa" w:w="2350"/>
            <w:shd w:fill="0B7A7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Injury type</w:t>
            </w:r>
          </w:p>
        </w:tc>
        <w:tc>
          <w:tcPr>
            <w:tcW w:type="dxa" w:w="2550"/>
            <w:shd w:fill="0B7A7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What’s damaged</w:t>
            </w:r>
          </w:p>
        </w:tc>
        <w:tc>
          <w:tcPr>
            <w:tcW w:type="dxa" w:w="2560"/>
            <w:shd w:fill="0B7A7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Does surface FES work?</w:t>
            </w:r>
          </w:p>
        </w:tc>
        <w:tc>
          <w:tcPr>
            <w:tcW w:type="dxa" w:w="1900"/>
            <w:shd w:fill="0B7A7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Your idea</w:t>
            </w:r>
          </w:p>
        </w:tc>
      </w:tr>
      <w:tr>
        <w:tc>
          <w:tcPr>
            <w:tcW w:type="dxa" w:w="23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Upper motor neuron
(stroke, most SCI, MS, CP)</w:t>
            </w:r>
          </w:p>
        </w:tc>
        <w:tc>
          <w:tcPr>
            <w:tcW w:type="dxa" w:w="25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Brain/cord command pathway. Nerve→muscle wiring INTACT.</w:t>
            </w:r>
          </w:p>
        </w:tc>
        <w:tc>
          <w:tcPr>
            <w:tcW w:type="dxa" w:w="2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Yes — well established. Muscle contracts to standard surface stimulation.</w:t>
            </w:r>
          </w:p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Physio for SCI ✓  +  stroke hand recovery ✓</w:t>
            </w:r>
          </w:p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50"/>
            <w:shd w:fill="EAF3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Lower motor neuron / peripheral
(denervation, some brachial plexus)</w:t>
            </w:r>
          </w:p>
        </w:tc>
        <w:tc>
          <w:tcPr>
            <w:tcW w:type="dxa" w:w="2550"/>
            <w:shd w:fill="EAF3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The nerve-to-muscle wiring itself. Muscle is denervated.</w:t>
            </w:r>
          </w:p>
        </w:tc>
        <w:tc>
          <w:tcPr>
            <w:tcW w:type="dxa" w:w="2560"/>
            <w:shd w:fill="EAF3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color w:val="C1440E"/>
                <w:sz w:val="18"/>
                <w:szCs w:val="18"/>
              </w:rPr>
              <w:t xml:space="preserve">Poorly — needs direct muscle stimulation at very high, often painful intensity; muscle turns fibro-fatty over time.</w:t>
            </w:r>
          </w:p>
        </w:tc>
        <w:tc>
          <w:tcPr>
            <w:tcW w:type="dxa" w:w="1900"/>
            <w:shd w:fill="EAF3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“Arm with damaged nerves, no prosthetic” — hard</w:t>
            </w:r>
          </w:p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after="130" w:line="276"/>
        <w:jc w:val="both"/>
      </w:pPr>
      <w:r>
        <w:rPr>
          <w:sz w:val="8"/>
          <w:szCs w:val="8"/>
        </w:rPr>
        <w:t xml:space="preserve"> </w:t>
      </w:r>
    </w:p>
    <w:p>
      <w:pPr>
        <w:spacing w:after="130" w:line="276"/>
        <w:jc w:val="both"/>
      </w:pPr>
      <w:r>
        <w:rPr>
          <w:color w:val="1A1A2E"/>
          <w:sz w:val="21"/>
          <w:szCs w:val="21"/>
        </w:rPr>
        <w:t xml:space="preserve">Nuance worth keeping: “brachial plexus / arm nerve injury” is not monolithic. Where some innervation is spared, or where a nerve/tendon transfer has re-routed a working nerve, FES can assist. But a </w:t>
      </w:r>
      <w:r>
        <w:rPr>
          <w:i/>
          <w:iCs/>
          <w:color w:val="1A1A2E"/>
          <w:sz w:val="21"/>
          <w:szCs w:val="21"/>
        </w:rPr>
        <w:t xml:space="preserve">fully denervated</w:t>
      </w:r>
      <w:r>
        <w:rPr>
          <w:color w:val="1A1A2E"/>
          <w:sz w:val="21"/>
          <w:szCs w:val="21"/>
        </w:rPr>
        <w:t xml:space="preserve"> muscle driven by surface electrodes is, candidly, the wrong first product — painful, hardware-intensive, and clinically unproven at consumer scale.</w:t>
      </w:r>
      <w:r>
        <w:rPr>
          <w:color w:val="0B7A75"/>
          <w:sz w:val="14"/>
          <w:szCs w:val="14"/>
          <w:vertAlign w:val="superscript"/>
        </w:rPr>
        <w:t xml:space="preserve"> [9]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A1A2E"/>
          <w:sz w:val="30"/>
          <w:szCs w:val="30"/>
        </w:rPr>
        <w:t xml:space="preserve">3. Medical evidence base</w:t>
      </w:r>
    </w:p>
    <w:p>
      <w:pPr>
        <w:pStyle w:val="Heading2"/>
        <w:spacing w:after="90" w:before="220"/>
      </w:pPr>
      <w:r>
        <w:rPr>
          <w:b/>
          <w:bCs/>
          <w:color w:val="0B7A75"/>
          <w:sz w:val="24"/>
          <w:szCs w:val="24"/>
        </w:rPr>
        <w:t xml:space="preserve">Stroke — upper limb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1A1A2E"/>
          <w:sz w:val="21"/>
          <w:szCs w:val="21"/>
        </w:rPr>
        <w:t xml:space="preserve">Roughly </w:t>
      </w:r>
      <w:r>
        <w:rPr>
          <w:b/>
          <w:bCs/>
          <w:color w:val="1A1A2E"/>
          <w:sz w:val="21"/>
          <w:szCs w:val="21"/>
        </w:rPr>
        <w:t xml:space="preserve">70–80% of acute stroke patients</w:t>
      </w:r>
      <w:r>
        <w:rPr>
          <w:color w:val="1A1A2E"/>
          <w:sz w:val="21"/>
          <w:szCs w:val="21"/>
        </w:rPr>
        <w:t xml:space="preserve"> and &gt;50% of chronic survivors have upper-limb motor impairment; hand and fine-motor recovery is the slowest and hardest.</w:t>
      </w:r>
      <w:r>
        <w:rPr>
          <w:color w:val="0B7A75"/>
          <w:sz w:val="14"/>
          <w:szCs w:val="14"/>
          <w:vertAlign w:val="superscript"/>
        </w:rPr>
        <w:t xml:space="preserve"> [5]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1A1A2E"/>
          <w:sz w:val="21"/>
          <w:szCs w:val="21"/>
        </w:rPr>
        <w:t xml:space="preserve">A meta-analysis of </w:t>
      </w:r>
      <w:r>
        <w:rPr>
          <w:b/>
          <w:bCs/>
          <w:color w:val="1A1A2E"/>
          <w:sz w:val="21"/>
          <w:szCs w:val="21"/>
        </w:rPr>
        <w:t xml:space="preserve">290 patients across 10 RCTs</w:t>
      </w:r>
      <w:r>
        <w:rPr>
          <w:color w:val="1A1A2E"/>
          <w:sz w:val="21"/>
          <w:szCs w:val="21"/>
        </w:rPr>
        <w:t xml:space="preserve"> found intent-driven (BCI-controlled) FES training produced a moderate effect on upper-limb recovery (SMD 0.50, 95% CI 0.26–0.73).</w:t>
      </w:r>
      <w:r>
        <w:rPr>
          <w:color w:val="0B7A75"/>
          <w:sz w:val="14"/>
          <w:szCs w:val="14"/>
          <w:vertAlign w:val="superscript"/>
        </w:rPr>
        <w:t xml:space="preserve"> [1]</w:t>
      </w:r>
      <w:r>
        <w:rPr>
          <w:color w:val="0B7A75"/>
          <w:sz w:val="14"/>
          <w:szCs w:val="14"/>
          <w:vertAlign w:val="superscript"/>
        </w:rPr>
        <w:t xml:space="preserve"> [4]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1A1A2E"/>
          <w:sz w:val="21"/>
          <w:szCs w:val="21"/>
        </w:rPr>
        <w:t xml:space="preserve">FES interventions improved arm/hand activity versus both no intervention and dose-matched training alone.</w:t>
      </w:r>
      <w:r>
        <w:rPr>
          <w:color w:val="0B7A75"/>
          <w:sz w:val="14"/>
          <w:szCs w:val="14"/>
          <w:vertAlign w:val="superscript"/>
        </w:rPr>
        <w:t xml:space="preserve"> [1]</w:t>
      </w:r>
    </w:p>
    <w:p>
      <w:pPr>
        <w:pStyle w:val="Heading2"/>
        <w:spacing w:after="90" w:before="220"/>
      </w:pPr>
      <w:r>
        <w:rPr>
          <w:b/>
          <w:bCs/>
          <w:color w:val="0B7A75"/>
          <w:sz w:val="24"/>
          <w:szCs w:val="24"/>
        </w:rPr>
        <w:t xml:space="preserve">Spinal cord injury — upper limb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1A1A2E"/>
          <w:sz w:val="21"/>
          <w:szCs w:val="21"/>
        </w:rPr>
        <w:t xml:space="preserve">Over 50% of SCIs affect upper-limb function; for people with tetraplegia, restoring even partial hand grasp is repeatedly ranked the #1 recovery priority — above walking.</w:t>
      </w:r>
      <w:r>
        <w:rPr>
          <w:color w:val="0B7A75"/>
          <w:sz w:val="14"/>
          <w:szCs w:val="14"/>
          <w:vertAlign w:val="superscript"/>
        </w:rPr>
        <w:t xml:space="preserve"> [6]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1A1A2E"/>
          <w:sz w:val="21"/>
          <w:szCs w:val="21"/>
        </w:rPr>
        <w:t xml:space="preserve">Because most SCI spares the lower motor neuron below the lesion, FES applies well; pilot RCT evidence shows gains in muscle strength and activation alongside measurable electrophysiological change.</w:t>
      </w:r>
      <w:r>
        <w:rPr>
          <w:color w:val="0B7A75"/>
          <w:sz w:val="14"/>
          <w:szCs w:val="14"/>
          <w:vertAlign w:val="superscript"/>
        </w:rPr>
        <w:t xml:space="preserve"> [6]</w:t>
      </w:r>
    </w:p>
    <w:p>
      <w:pPr>
        <w:pStyle w:val="Heading2"/>
        <w:spacing w:after="90" w:before="220"/>
      </w:pPr>
      <w:r>
        <w:rPr>
          <w:b/>
          <w:bCs/>
          <w:color w:val="0B7A75"/>
          <w:sz w:val="24"/>
          <w:szCs w:val="24"/>
        </w:rPr>
        <w:t xml:space="preserve">Denervated / peripheral (the harder case)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C1440E"/>
          <w:sz w:val="21"/>
          <w:szCs w:val="21"/>
        </w:rPr>
        <w:t xml:space="preserve">Denervated muscle needs direct stimulation; intensities are high and painful for anyone with intact sensation, and the muscle degrades to fibro-fatty tissue — feasible only with bespoke, high-intensity, home protocols and mainly demonstrated in the lower limb.</w:t>
      </w:r>
      <w:r>
        <w:rPr>
          <w:color w:val="0B7A75"/>
          <w:sz w:val="14"/>
          <w:szCs w:val="14"/>
          <w:vertAlign w:val="superscript"/>
        </w:rPr>
        <w:t xml:space="preserve"> [9]</w:t>
      </w:r>
    </w:p>
    <w:p>
      <w:pPr>
        <w:pStyle w:val="Heading2"/>
        <w:spacing w:after="90" w:before="220"/>
      </w:pPr>
      <w:r>
        <w:rPr>
          <w:b/>
          <w:bCs/>
          <w:color w:val="0B7A75"/>
          <w:sz w:val="24"/>
          <w:szCs w:val="24"/>
        </w:rPr>
        <w:t xml:space="preserve">Why now — the technology has just caught up</w:t>
      </w:r>
    </w:p>
    <w:p>
      <w:pPr>
        <w:spacing w:after="130" w:line="276"/>
        <w:jc w:val="both"/>
      </w:pPr>
      <w:r>
        <w:rPr>
          <w:color w:val="1A1A2E"/>
          <w:sz w:val="21"/>
          <w:szCs w:val="21"/>
        </w:rPr>
        <w:t xml:space="preserve">2024–25 literature shows exactly your architecture emerging in labs: </w:t>
      </w:r>
      <w:r>
        <w:rPr>
          <w:b/>
          <w:bCs/>
          <w:color w:val="1A1A2E"/>
          <w:sz w:val="21"/>
          <w:szCs w:val="21"/>
        </w:rPr>
        <w:t xml:space="preserve">wearable, EMG-driven, closed-loop FES neuro-orthoses</w:t>
      </w:r>
      <w:r>
        <w:rPr>
          <w:color w:val="1A1A2E"/>
          <w:sz w:val="21"/>
          <w:szCs w:val="21"/>
        </w:rPr>
        <w:t xml:space="preserve"> that read residual muscle signals, infer intent with ML, and stimulate the impaired muscles — including an open-source system explicitly targeting stroke and cervical SCI hands (published 2025).</w:t>
      </w:r>
      <w:r>
        <w:rPr>
          <w:color w:val="0B7A75"/>
          <w:sz w:val="14"/>
          <w:szCs w:val="14"/>
          <w:vertAlign w:val="superscript"/>
        </w:rPr>
        <w:t xml:space="preserve"> [10]</w:t>
      </w:r>
      <w:r>
        <w:rPr>
          <w:color w:val="1A1A2E"/>
          <w:sz w:val="21"/>
          <w:szCs w:val="21"/>
        </w:rPr>
        <w:t xml:space="preserve"> This both de-risks your feasibility story and tells you where to differentiate: not on “can it be built,” but on productizing it cheaply, autonomously, and at home.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A1A2E"/>
          <w:sz w:val="30"/>
          <w:szCs w:val="30"/>
        </w:rPr>
        <w:t xml:space="preserve">4. Market size &amp; human impact (global)</w:t>
      </w:r>
    </w:p>
    <w:p>
      <w:pPr>
        <w:pStyle w:val="Heading2"/>
        <w:spacing w:after="90" w:before="220"/>
      </w:pPr>
      <w:r>
        <w:rPr>
          <w:b/>
          <w:bCs/>
          <w:color w:val="0B7A75"/>
          <w:sz w:val="24"/>
          <w:szCs w:val="24"/>
        </w:rPr>
        <w:t xml:space="preserve">The populations</w:t>
      </w:r>
    </w:p>
    <w:tbl>
      <w:tblPr>
        <w:tblW w:type="dxa" w:w="9360"/>
        <w:tblBorders>
          <w:top w:val="single" w:color="C9D6D4" w:sz="4"/>
          <w:left w:val="none"/>
          <w:bottom w:val="single" w:color="C9D6D4" w:sz="4"/>
          <w:right w:val="none"/>
          <w:insideH w:val="single" w:color="C9D6D4" w:sz="2"/>
          <w:insideV w:val="none"/>
        </w:tblBorders>
      </w:tblPr>
      <w:tblGrid>
        <w:gridCol w:w="2250"/>
        <w:gridCol w:w="3560"/>
        <w:gridCol w:w="3550"/>
      </w:tblGrid>
      <w:tr>
        <w:trPr>
          <w:tblHeader/>
        </w:trPr>
        <w:tc>
          <w:tcPr>
            <w:tcW w:type="dxa" w:w="2250"/>
            <w:shd w:fill="0B7A7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3560"/>
            <w:shd w:fill="0B7A7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Scale (global)</w:t>
            </w:r>
          </w:p>
        </w:tc>
        <w:tc>
          <w:tcPr>
            <w:tcW w:type="dxa" w:w="3550"/>
            <w:shd w:fill="0B7A7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Relevance to you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Stroke survivors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~101M living with stroke; 12.2M new/yr; ~US$890B/yr cost, projected to nearly double by 2050</w:t>
            </w:r>
          </w:p>
        </w:tc>
        <w:tc>
          <w:tcPr>
            <w:tcW w:type="dxa" w:w="35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Primary market. Huge, growing, expensive, upper-limb impairment is the norm</w:t>
            </w:r>
          </w:p>
        </w:tc>
      </w:tr>
      <w:tr>
        <w:tc>
          <w:tcPr>
            <w:tcW w:type="dxa" w:w="2250"/>
            <w:shd w:fill="EAF3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Upper-limb impairment post-stroke</w:t>
            </w:r>
          </w:p>
        </w:tc>
        <w:tc>
          <w:tcPr>
            <w:tcW w:type="dxa" w:w="3560"/>
            <w:shd w:fill="EAF3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70–80% acute / &gt;50% chronic of the above</w:t>
            </w:r>
          </w:p>
        </w:tc>
        <w:tc>
          <w:tcPr>
            <w:tcW w:type="dxa" w:w="3550"/>
            <w:shd w:fill="EAF3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Your direct addressable clinical need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Spinal cord injury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~14.5M living with SCI; &gt;50% affect the upper limb</w:t>
            </w:r>
          </w:p>
        </w:tc>
        <w:tc>
          <w:tcPr>
            <w:tcW w:type="dxa" w:w="35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Strong secondary market; hand function is the top patient priority</w:t>
            </w:r>
          </w:p>
        </w:tc>
      </w:tr>
      <w:tr>
        <w:tc>
          <w:tcPr>
            <w:tcW w:type="dxa" w:w="2250"/>
            <w:shd w:fill="EAF3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Peripheral nerve injury</w:t>
            </w:r>
          </w:p>
        </w:tc>
        <w:tc>
          <w:tcPr>
            <w:tcW w:type="dxa" w:w="3560"/>
            <w:shd w:fill="EAF3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~4.1M new cases/yr; brachial plexus rare (~0.6–3.9 / 100k)</w:t>
            </w:r>
          </w:p>
        </w:tc>
        <w:tc>
          <w:tcPr>
            <w:tcW w:type="dxa" w:w="3550"/>
            <w:shd w:fill="EAF3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Aspirational; mostly the harder denervation case — vision slide, not v1</w:t>
            </w:r>
          </w:p>
        </w:tc>
      </w:tr>
    </w:tbl>
    <w:p>
      <w:pPr>
        <w:spacing w:after="130" w:line="276"/>
        <w:jc w:val="both"/>
      </w:pPr>
      <w:r>
        <w:rPr>
          <w:sz w:val="8"/>
          <w:szCs w:val="8"/>
        </w:rPr>
        <w:t xml:space="preserve"> </w:t>
      </w:r>
    </w:p>
    <w:p>
      <w:pPr>
        <w:spacing w:after="130" w:line="276"/>
        <w:jc w:val="both"/>
      </w:pPr>
      <w:r>
        <w:rPr>
          <w:i/>
          <w:iCs/>
          <w:color w:val="5A5A6E"/>
          <w:sz w:val="16"/>
          <w:szCs w:val="16"/>
        </w:rPr>
        <w:t xml:space="preserve">Sources: WSO Global Stroke Fact Sheet 2022/2025 and GBD 2021 for stroke; GBD 2021 for SCI and peripheral nerve injury; multiple cohort studies for upper-limb impairment rates.</w:t>
      </w:r>
      <w:r>
        <w:rPr>
          <w:color w:val="0B7A75"/>
          <w:sz w:val="14"/>
          <w:szCs w:val="14"/>
          <w:vertAlign w:val="superscript"/>
        </w:rPr>
        <w:t xml:space="preserve"> [2]</w:t>
      </w:r>
      <w:r>
        <w:rPr>
          <w:color w:val="0B7A75"/>
          <w:sz w:val="14"/>
          <w:szCs w:val="14"/>
          <w:vertAlign w:val="superscript"/>
        </w:rPr>
        <w:t xml:space="preserve"> [5]</w:t>
      </w:r>
      <w:r>
        <w:rPr>
          <w:color w:val="0B7A75"/>
          <w:sz w:val="14"/>
          <w:szCs w:val="14"/>
          <w:vertAlign w:val="superscript"/>
        </w:rPr>
        <w:t xml:space="preserve"> [7]</w:t>
      </w:r>
      <w:r>
        <w:rPr>
          <w:color w:val="0B7A75"/>
          <w:sz w:val="14"/>
          <w:szCs w:val="14"/>
          <w:vertAlign w:val="superscript"/>
        </w:rPr>
        <w:t xml:space="preserve"> [8]</w:t>
      </w:r>
    </w:p>
    <w:p>
      <w:pPr>
        <w:pStyle w:val="Heading2"/>
        <w:spacing w:after="90" w:before="220"/>
      </w:pPr>
      <w:r>
        <w:rPr>
          <w:b/>
          <w:bCs/>
          <w:color w:val="0B7A75"/>
          <w:sz w:val="24"/>
          <w:szCs w:val="24"/>
        </w:rPr>
        <w:t xml:space="preserve">The device market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1A1A2E"/>
          <w:sz w:val="21"/>
          <w:szCs w:val="21"/>
        </w:rPr>
        <w:t xml:space="preserve">Functional electrical stimulation devices: </w:t>
      </w:r>
      <w:r>
        <w:rPr>
          <w:b/>
          <w:bCs/>
          <w:color w:val="1A1A2E"/>
          <w:sz w:val="21"/>
          <w:szCs w:val="21"/>
        </w:rPr>
        <w:t xml:space="preserve">~US$3.1B by 2030 at ~7.2% CAGR</w:t>
      </w:r>
      <w:r>
        <w:rPr>
          <w:color w:val="1A1A2E"/>
          <w:sz w:val="21"/>
          <w:szCs w:val="21"/>
        </w:rPr>
        <w:t xml:space="preserve">; the broader electrical-stimulation device market reaches ~US$5.8B by 2030. North America leads; Asia-Pacific grows fastest.</w:t>
      </w:r>
      <w:r>
        <w:rPr>
          <w:color w:val="0B7A75"/>
          <w:sz w:val="14"/>
          <w:szCs w:val="14"/>
          <w:vertAlign w:val="superscript"/>
        </w:rPr>
        <w:t xml:space="preserve"> [3]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1A1A2E"/>
          <w:sz w:val="21"/>
          <w:szCs w:val="21"/>
        </w:rPr>
        <w:t xml:space="preserve">Reimbursement exists and is expanding: CMS has covered FES for qualifying SCI patients since a 2003 national coverage determination, and the FDA-cleared IpsiHand secured a dedicated CMS coding/coverage pathway — evidence that payers will fund credible neurorehab devices.</w:t>
      </w:r>
      <w:r>
        <w:rPr>
          <w:color w:val="0B7A75"/>
          <w:sz w:val="14"/>
          <w:szCs w:val="14"/>
          <w:vertAlign w:val="superscript"/>
        </w:rPr>
        <w:t xml:space="preserve"> [11]</w:t>
      </w:r>
      <w:r>
        <w:rPr>
          <w:color w:val="0B7A75"/>
          <w:sz w:val="14"/>
          <w:szCs w:val="14"/>
          <w:vertAlign w:val="superscript"/>
        </w:rPr>
        <w:t xml:space="preserve"> [12]</w:t>
      </w:r>
    </w:p>
    <w:p>
      <w:pPr>
        <w:pStyle w:val="Heading2"/>
        <w:spacing w:after="90" w:before="220"/>
      </w:pPr>
      <w:r>
        <w:rPr>
          <w:b/>
          <w:bCs/>
          <w:color w:val="0B7A75"/>
          <w:sz w:val="24"/>
          <w:szCs w:val="24"/>
        </w:rPr>
        <w:t xml:space="preserve">The wedge: care is failing on access and dose</w:t>
      </w:r>
    </w:p>
    <w:p>
      <w:pPr>
        <w:spacing w:after="130" w:line="276"/>
        <w:jc w:val="both"/>
      </w:pPr>
      <w:r>
        <w:rPr>
          <w:color w:val="1A1A2E"/>
          <w:sz w:val="21"/>
          <w:szCs w:val="21"/>
        </w:rPr>
        <w:t xml:space="preserve">Guidelines call for ~45 minutes of therapy, 5 days/week (and high-dose stroke rehab far beyond that), yet audits show patients routinely get a fraction of it — driven by a global shortage of physio and occupational therapists. Recovery is, in the field’s own words, </w:t>
      </w:r>
      <w:r>
        <w:rPr>
          <w:b/>
          <w:bCs/>
          <w:color w:val="1A1A2E"/>
          <w:sz w:val="21"/>
          <w:szCs w:val="21"/>
        </w:rPr>
        <w:t xml:space="preserve">systematically under-dosed</w:t>
      </w:r>
      <w:r>
        <w:rPr>
          <w:color w:val="1A1A2E"/>
          <w:sz w:val="21"/>
          <w:szCs w:val="21"/>
        </w:rPr>
        <w:t xml:space="preserve">. A device that delivers intent-linked, high-repetition therapy </w:t>
      </w:r>
      <w:r>
        <w:rPr>
          <w:i/>
          <w:iCs/>
          <w:color w:val="1A1A2E"/>
          <w:sz w:val="21"/>
          <w:szCs w:val="21"/>
        </w:rPr>
        <w:t xml:space="preserve">at home without a therapist in the room</w:t>
      </w:r>
      <w:r>
        <w:rPr>
          <w:color w:val="1A1A2E"/>
          <w:sz w:val="21"/>
          <w:szCs w:val="21"/>
        </w:rPr>
        <w:t xml:space="preserve"> attacks the single biggest bottleneck in the standard of care.</w:t>
      </w:r>
      <w:r>
        <w:rPr>
          <w:color w:val="0B7A75"/>
          <w:sz w:val="14"/>
          <w:szCs w:val="14"/>
          <w:vertAlign w:val="superscript"/>
        </w:rPr>
        <w:t xml:space="preserve"> [13]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A1A2E"/>
          <w:sz w:val="30"/>
          <w:szCs w:val="30"/>
        </w:rPr>
        <w:t xml:space="preserve">5. Competitive landscape</w:t>
      </w:r>
    </w:p>
    <w:p>
      <w:pPr>
        <w:spacing w:after="130" w:line="276"/>
        <w:jc w:val="both"/>
      </w:pPr>
      <w:r>
        <w:rPr>
          <w:color w:val="1A1A2E"/>
          <w:sz w:val="21"/>
          <w:szCs w:val="21"/>
        </w:rPr>
        <w:t xml:space="preserve">The category is real and funded — which validates the market — but the incumbents cluster at two unattractive poles: cheap-but-dumb (open-loop foot-drop stimulators) and smart-but-expensive/clinic-bound (BCI systems, therapist-operated multichannel rigs). The middle — </w:t>
      </w:r>
      <w:r>
        <w:rPr>
          <w:b/>
          <w:bCs/>
          <w:color w:val="1A1A2E"/>
          <w:sz w:val="21"/>
          <w:szCs w:val="21"/>
        </w:rPr>
        <w:t xml:space="preserve">smart, autonomous, affordable, at-home upper-limb</w:t>
      </w:r>
      <w:r>
        <w:rPr>
          <w:color w:val="1A1A2E"/>
          <w:sz w:val="21"/>
          <w:szCs w:val="21"/>
        </w:rPr>
        <w:t xml:space="preserve"> — is thin.</w:t>
      </w:r>
    </w:p>
    <w:tbl>
      <w:tblPr>
        <w:tblW w:type="dxa" w:w="9360"/>
        <w:tblBorders>
          <w:top w:val="single" w:color="C9D6D4" w:sz="4"/>
          <w:left w:val="none"/>
          <w:bottom w:val="single" w:color="C9D6D4" w:sz="4"/>
          <w:right w:val="none"/>
          <w:insideH w:val="single" w:color="C9D6D4" w:sz="2"/>
          <w:insideV w:val="none"/>
        </w:tblBorders>
      </w:tblPr>
      <w:tblGrid>
        <w:gridCol w:w="2450"/>
        <w:gridCol w:w="3560"/>
        <w:gridCol w:w="3350"/>
      </w:tblGrid>
      <w:tr>
        <w:trPr>
          <w:tblHeader/>
        </w:trPr>
        <w:tc>
          <w:tcPr>
            <w:tcW w:type="dxa" w:w="2450"/>
            <w:shd w:fill="0B7A7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Player / device</w:t>
            </w:r>
          </w:p>
        </w:tc>
        <w:tc>
          <w:tcPr>
            <w:tcW w:type="dxa" w:w="3560"/>
            <w:shd w:fill="0B7A7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3350"/>
            <w:shd w:fill="0B7A7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Gap you exploit</w:t>
            </w:r>
          </w:p>
        </w:tc>
      </w:tr>
      <w:tr>
        <w:tc>
          <w:tcPr>
            <w:tcW w:type="dxa" w:w="24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Bioness / Ottobock L300 Go, H200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Foot-drop &amp; hand FES; sensor-triggered, largely open-loop</w:t>
            </w:r>
          </w:p>
        </w:tc>
        <w:tc>
          <w:tcPr>
            <w:tcW w:type="dxa" w:w="33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Not intent-driven; H200 bulky/costly; limited adaptive intelligence</w:t>
            </w:r>
          </w:p>
        </w:tc>
      </w:tr>
      <w:tr>
        <w:tc>
          <w:tcPr>
            <w:tcW w:type="dxa" w:w="2450"/>
            <w:shd w:fill="EAF3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MyndTec MyndMove</w:t>
            </w:r>
          </w:p>
        </w:tc>
        <w:tc>
          <w:tcPr>
            <w:tcW w:type="dxa" w:w="3560"/>
            <w:shd w:fill="EAF3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8-channel upper-limb FES, therapist-triggered, clinic-based</w:t>
            </w:r>
          </w:p>
        </w:tc>
        <w:tc>
          <w:tcPr>
            <w:tcW w:type="dxa" w:w="3350"/>
            <w:shd w:fill="EAF3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Needs a trained therapist + clinic; not autonomous or at-home</w:t>
            </w:r>
          </w:p>
        </w:tc>
      </w:tr>
      <w:tr>
        <w:tc>
          <w:tcPr>
            <w:tcW w:type="dxa" w:w="24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Neurolutions IpsiHand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EEG brain-computer interface + hand brace; FDA De Novo + Breakthrough (2021); at-home chronic stroke; NNT 2.2</w:t>
            </w:r>
          </w:p>
        </w:tc>
        <w:tc>
          <w:tcPr>
            <w:tcW w:type="dxa" w:w="33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EEG headset = cost, setup friction; moves a brace, doesn’t re-activate the patient’s own muscles via FES</w:t>
            </w:r>
          </w:p>
        </w:tc>
      </w:tr>
      <w:tr>
        <w:tc>
          <w:tcPr>
            <w:tcW w:type="dxa" w:w="2450"/>
            <w:shd w:fill="EAF3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Kandu</w:t>
            </w:r>
          </w:p>
        </w:tc>
        <w:tc>
          <w:tcPr>
            <w:tcW w:type="dxa" w:w="3560"/>
            <w:shd w:fill="EAF3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FDA-cleared BCI stroke rehab + integrated care</w:t>
            </w:r>
          </w:p>
        </w:tc>
        <w:tc>
          <w:tcPr>
            <w:tcW w:type="dxa" w:w="3350"/>
            <w:shd w:fill="EAF3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BCI cost/complexity; service-heavy model</w:t>
            </w:r>
          </w:p>
        </w:tc>
      </w:tr>
      <w:tr>
        <w:tc>
          <w:tcPr>
            <w:tcW w:type="dxa" w:w="24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WalkAide / Saebo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Single-purpose foot-drop stim / low-tech hand aids</w:t>
            </w:r>
          </w:p>
        </w:tc>
        <w:tc>
          <w:tcPr>
            <w:tcW w:type="dxa" w:w="33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No AI, no closed loop, narrow indication</w:t>
            </w:r>
          </w:p>
        </w:tc>
      </w:tr>
    </w:tbl>
    <w:p>
      <w:pPr>
        <w:spacing w:after="130" w:line="276"/>
        <w:jc w:val="both"/>
      </w:pPr>
      <w:r>
        <w:rPr>
          <w:sz w:val="8"/>
          <w:szCs w:val="8"/>
        </w:rPr>
        <w:t xml:space="preserve"> </w:t>
      </w:r>
    </w:p>
    <w:tbl>
      <w:tblPr>
        <w:tblW w:type="dxa" w:w="9360"/>
        <w:tblBorders>
          <w:top w:val="none"/>
          <w:left w:val="single" w:color="0B7A75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3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B7A75"/>
                <w:sz w:val="20"/>
                <w:szCs w:val="20"/>
              </w:rPr>
              <w:t xml:space="preserve">Your positioning in one line</w:t>
            </w:r>
          </w:p>
          <w:p>
            <w:pPr>
              <w:spacing w:line="270"/>
            </w:pPr>
            <w:r>
              <w:rPr>
                <w:i/>
                <w:iCs/>
                <w:color w:val="1A1A2E"/>
                <w:sz w:val="21"/>
                <w:szCs w:val="21"/>
              </w:rPr>
              <w:t xml:space="preserve">“The intelligence of a brain-computer interface without the headset — an affordable, at-home device that reads what your muscles are trying to do and completes the movement for you, so recovery doesn’t depend on a therapist’s calendar.”</w:t>
            </w:r>
          </w:p>
        </w:tc>
      </w:tr>
    </w:tbl>
    <w:p>
      <w:pPr>
        <w:spacing w:after="130" w:line="276"/>
        <w:jc w:val="both"/>
      </w:pPr>
      <w:r>
        <w:rPr>
          <w:color w:val="1A1A2E"/>
          <w:sz w:val="21"/>
          <w:szCs w:val="21"/>
        </w:rPr>
        <w:t xml:space="preserve">Differentiators to lean on: </w:t>
      </w:r>
      <w:r>
        <w:rPr>
          <w:color w:val="1A1A2E"/>
          <w:sz w:val="21"/>
          <w:szCs w:val="21"/>
        </w:rPr>
        <w:t xml:space="preserve">EMG/AI intent detection instead of a costly EEG cap; true closed-loop stimulation of the patient’s own muscles (not just a motorized brace); safety-first hardware you’ve already proven; and a price point aimed at home use.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A1A2E"/>
          <w:sz w:val="30"/>
          <w:szCs w:val="30"/>
        </w:rPr>
        <w:t xml:space="preserve">6. Feasibility with your hardware</w:t>
      </w:r>
    </w:p>
    <w:tbl>
      <w:tblPr>
        <w:tblW w:type="dxa" w:w="9360"/>
        <w:tblBorders>
          <w:top w:val="single" w:color="C9D6D4" w:sz="4"/>
          <w:left w:val="none"/>
          <w:bottom w:val="single" w:color="C9D6D4" w:sz="4"/>
          <w:right w:val="none"/>
          <w:insideH w:val="single" w:color="C9D6D4" w:sz="2"/>
          <w:insideV w:val="none"/>
        </w:tblBorders>
      </w:tblPr>
      <w:tblGrid>
        <w:gridCol w:w="2650"/>
        <w:gridCol w:w="1900"/>
        <w:gridCol w:w="4810"/>
      </w:tblGrid>
      <w:tr>
        <w:trPr>
          <w:tblHeader/>
        </w:trPr>
        <w:tc>
          <w:tcPr>
            <w:tcW w:type="dxa" w:w="2650"/>
            <w:shd w:fill="0B7A7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900"/>
            <w:shd w:fill="0B7A7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Read</w:t>
            </w:r>
          </w:p>
        </w:tc>
        <w:tc>
          <w:tcPr>
            <w:tcW w:type="dxa" w:w="4810"/>
            <w:shd w:fill="0B7A7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6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Core stimulation loop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Proven</w:t>
            </w:r>
          </w:p>
        </w:tc>
        <w:tc>
          <w:tcPr>
            <w:tcW w:type="dxa" w:w="481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You already drive muscle safely in a closed loop with AI in the path</w:t>
            </w:r>
          </w:p>
        </w:tc>
      </w:tr>
      <w:tr>
        <w:tc>
          <w:tcPr>
            <w:tcW w:type="dxa" w:w="2650"/>
            <w:shd w:fill="EAF3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Signal / intent input</w:t>
            </w:r>
          </w:p>
        </w:tc>
        <w:tc>
          <w:tcPr>
            <w:tcW w:type="dxa" w:w="1900"/>
            <w:shd w:fill="EAF3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Needs work</w:t>
            </w:r>
          </w:p>
        </w:tc>
        <w:tc>
          <w:tcPr>
            <w:tcW w:type="dxa" w:w="4810"/>
            <w:shd w:fill="EAF3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Swap game-vision for surface EMG (or motion) intent detection — well-trodden in recent literature</w:t>
            </w:r>
          </w:p>
        </w:tc>
      </w:tr>
      <w:tr>
        <w:tc>
          <w:tcPr>
            <w:tcW w:type="dxa" w:w="26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Target population (stroke/SCI hand)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Strong fit</w:t>
            </w:r>
          </w:p>
        </w:tc>
        <w:tc>
          <w:tcPr>
            <w:tcW w:type="dxa" w:w="481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Upper motor neuron → muscle responds to surface FES</w:t>
            </w:r>
          </w:p>
        </w:tc>
      </w:tr>
      <w:tr>
        <w:tc>
          <w:tcPr>
            <w:tcW w:type="dxa" w:w="2650"/>
            <w:shd w:fill="EAF3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Denervated / peripheral arm</w:t>
            </w:r>
          </w:p>
        </w:tc>
        <w:tc>
          <w:tcPr>
            <w:tcW w:type="dxa" w:w="1900"/>
            <w:shd w:fill="EAF3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color w:val="C1440E"/>
                <w:sz w:val="18"/>
                <w:szCs w:val="18"/>
              </w:rPr>
              <w:t xml:space="preserve">Weak fit</w:t>
            </w:r>
          </w:p>
        </w:tc>
        <w:tc>
          <w:tcPr>
            <w:tcW w:type="dxa" w:w="4810"/>
            <w:shd w:fill="EAF3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Different, harder physics; avoid as v1</w:t>
            </w:r>
          </w:p>
        </w:tc>
      </w:tr>
      <w:tr>
        <w:tc>
          <w:tcPr>
            <w:tcW w:type="dxa" w:w="26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Safety / regulatory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Manageable</w:t>
            </w:r>
          </w:p>
        </w:tc>
        <w:tc>
          <w:tcPr>
            <w:tcW w:type="dxa" w:w="481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Class II FES pathway exists (510(k)/De Novo precedent); your fail-safes align with expectations</w:t>
            </w:r>
          </w:p>
        </w:tc>
      </w:tr>
      <w:tr>
        <w:tc>
          <w:tcPr>
            <w:tcW w:type="dxa" w:w="2650"/>
            <w:shd w:fill="EAF3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Multichannel coordination</w:t>
            </w:r>
          </w:p>
        </w:tc>
        <w:tc>
          <w:tcPr>
            <w:tcW w:type="dxa" w:w="1900"/>
            <w:shd w:fill="EAF3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Moderate</w:t>
            </w:r>
          </w:p>
        </w:tc>
        <w:tc>
          <w:tcPr>
            <w:tcW w:type="dxa" w:w="4810"/>
            <w:shd w:fill="EAF3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Grasp needs several muscles sequenced; your relay/channel design already contemplates this</w:t>
            </w:r>
          </w:p>
        </w:tc>
      </w:tr>
    </w:tbl>
    <w:p>
      <w:pPr>
        <w:spacing w:after="130" w:line="276"/>
        <w:jc w:val="both"/>
      </w:pPr>
      <w:r>
        <w:rPr>
          <w:sz w:val="8"/>
          <w:szCs w:val="8"/>
        </w:rPr>
        <w:t xml:space="preserve"> </w:t>
      </w:r>
    </w:p>
    <w:p>
      <w:pPr>
        <w:spacing w:after="130" w:line="276"/>
        <w:jc w:val="both"/>
      </w:pPr>
      <w:r>
        <w:rPr>
          <w:color w:val="1A1A2E"/>
          <w:sz w:val="21"/>
          <w:szCs w:val="21"/>
        </w:rPr>
        <w:t xml:space="preserve">Regulatory framing for the pitch: you are a </w:t>
      </w:r>
      <w:r>
        <w:rPr>
          <w:b/>
          <w:bCs/>
          <w:color w:val="1A1A2E"/>
          <w:sz w:val="21"/>
          <w:szCs w:val="21"/>
        </w:rPr>
        <w:t xml:space="preserve">Class II neuromuscular stimulation device</w:t>
      </w:r>
      <w:r>
        <w:rPr>
          <w:color w:val="1A1A2E"/>
          <w:sz w:val="21"/>
          <w:szCs w:val="21"/>
        </w:rPr>
        <w:t xml:space="preserve">; comparable products reached market via 510(k) or FDA De Novo with Breakthrough Device designation, and secured CMS coverage. You don’t need to solve regulation for a hackathon — but naming the pathway signals seriousness.</w:t>
      </w:r>
      <w:r>
        <w:rPr>
          <w:color w:val="0B7A75"/>
          <w:sz w:val="14"/>
          <w:szCs w:val="14"/>
          <w:vertAlign w:val="superscript"/>
        </w:rPr>
        <w:t xml:space="preserve"> [11]</w:t>
      </w:r>
      <w:r>
        <w:rPr>
          <w:color w:val="0B7A75"/>
          <w:sz w:val="14"/>
          <w:szCs w:val="14"/>
          <w:vertAlign w:val="superscript"/>
        </w:rPr>
        <w:t xml:space="preserve"> [12]</w:t>
      </w:r>
    </w:p>
    <w:p>
      <w:pPr>
        <w:pStyle w:val="Heading1"/>
        <w:spacing w:after="140" w:before="320"/>
      </w:pPr>
      <w:r>
        <w:rPr>
          <w:b/>
          <w:bCs/>
          <w:color w:val="1A1A2E"/>
          <w:sz w:val="30"/>
          <w:szCs w:val="30"/>
        </w:rPr>
        <w:t xml:space="preserve">7. Recommended direction</w:t>
      </w:r>
    </w:p>
    <w:p>
      <w:pPr>
        <w:spacing w:after="130" w:line="276"/>
        <w:jc w:val="both"/>
      </w:pPr>
      <w:r>
        <w:rPr>
          <w:color w:val="1A1A2E"/>
          <w:sz w:val="21"/>
          <w:szCs w:val="21"/>
        </w:rPr>
        <w:t xml:space="preserve">Judged on market size, scientific feasibility, competitive whitespace, and fit to what you’ve already built, the directions rank clearly:</w:t>
      </w:r>
    </w:p>
    <w:tbl>
      <w:tblPr>
        <w:tblW w:type="dxa" w:w="9360"/>
        <w:tblBorders>
          <w:top w:val="single" w:color="C9D6D4" w:sz="4"/>
          <w:left w:val="none"/>
          <w:bottom w:val="single" w:color="C9D6D4" w:sz="4"/>
          <w:right w:val="none"/>
          <w:insideH w:val="single" w:color="C9D6D4" w:sz="2"/>
          <w:insideV w:val="none"/>
        </w:tblBorders>
      </w:tblPr>
      <w:tblGrid>
        <w:gridCol w:w="3350"/>
        <w:gridCol w:w="1500"/>
        <w:gridCol w:w="1700"/>
        <w:gridCol w:w="1500"/>
        <w:gridCol w:w="1310"/>
      </w:tblGrid>
      <w:tr>
        <w:trPr>
          <w:tblHeader/>
        </w:trPr>
        <w:tc>
          <w:tcPr>
            <w:tcW w:type="dxa" w:w="3350"/>
            <w:shd w:fill="0B7A7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Option</w:t>
            </w:r>
          </w:p>
        </w:tc>
        <w:tc>
          <w:tcPr>
            <w:tcW w:type="dxa" w:w="1500"/>
            <w:shd w:fill="0B7A7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Market</w:t>
            </w:r>
          </w:p>
        </w:tc>
        <w:tc>
          <w:tcPr>
            <w:tcW w:type="dxa" w:w="1700"/>
            <w:shd w:fill="0B7A7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Feasibility</w:t>
            </w:r>
          </w:p>
        </w:tc>
        <w:tc>
          <w:tcPr>
            <w:tcW w:type="dxa" w:w="1500"/>
            <w:shd w:fill="0B7A7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Whitespace</w:t>
            </w:r>
          </w:p>
        </w:tc>
        <w:tc>
          <w:tcPr>
            <w:tcW w:type="dxa" w:w="1310"/>
            <w:shd w:fill="0B7A7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33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A. Stroke upper-limb recovery (AI/EMG closed-loop FES, at-home)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Very large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W w:type="dxa" w:w="131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/>
                <w:bCs/>
                <w:color w:val="C1440E"/>
                <w:sz w:val="18"/>
                <w:szCs w:val="18"/>
              </w:rPr>
              <w:t xml:space="preserve">★ LEAD</w:t>
            </w:r>
          </w:p>
        </w:tc>
      </w:tr>
      <w:tr>
        <w:tc>
          <w:tcPr>
            <w:tcW w:type="dxa" w:w="3350"/>
            <w:shd w:fill="EAF3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B. Cervical SCI hand function</w:t>
            </w:r>
          </w:p>
        </w:tc>
        <w:tc>
          <w:tcPr>
            <w:tcW w:type="dxa" w:w="1500"/>
            <w:shd w:fill="EAF3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Large</w:t>
            </w:r>
          </w:p>
        </w:tc>
        <w:tc>
          <w:tcPr>
            <w:tcW w:type="dxa" w:w="1700"/>
            <w:shd w:fill="EAF3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shd w:fill="EAF3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1310"/>
            <w:shd w:fill="EAF3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Fast-follow</w:t>
            </w:r>
          </w:p>
        </w:tc>
      </w:tr>
      <w:tr>
        <w:tc>
          <w:tcPr>
            <w:tcW w:type="dxa" w:w="33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C. Physio for paraplegia (lower-limb FES cycling/standing)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131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Adjacent</w:t>
            </w:r>
          </w:p>
        </w:tc>
      </w:tr>
      <w:tr>
        <w:tc>
          <w:tcPr>
            <w:tcW w:type="dxa" w:w="3350"/>
            <w:shd w:fill="EAF3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D. Denervated / peripheral-nerve arm, no prosthetic</w:t>
            </w:r>
          </w:p>
        </w:tc>
        <w:tc>
          <w:tcPr>
            <w:tcW w:type="dxa" w:w="1500"/>
            <w:shd w:fill="EAF3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Niche</w:t>
            </w:r>
          </w:p>
        </w:tc>
        <w:tc>
          <w:tcPr>
            <w:tcW w:type="dxa" w:w="1700"/>
            <w:shd w:fill="EAF3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color w:val="C1440E"/>
                <w:sz w:val="18"/>
                <w:szCs w:val="18"/>
              </w:rPr>
              <w:t xml:space="preserve">Low (surface FES)</w:t>
            </w:r>
          </w:p>
        </w:tc>
        <w:tc>
          <w:tcPr>
            <w:tcW w:type="dxa" w:w="1500"/>
            <w:shd w:fill="EAF3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W w:type="dxa" w:w="1310"/>
            <w:shd w:fill="EAF3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Vision slide</w:t>
            </w:r>
          </w:p>
        </w:tc>
      </w:tr>
    </w:tbl>
    <w:p>
      <w:pPr>
        <w:spacing w:after="130" w:line="276"/>
        <w:jc w:val="both"/>
      </w:pPr>
      <w:r>
        <w:rPr>
          <w:sz w:val="8"/>
          <w:szCs w:val="8"/>
        </w:rPr>
        <w:t xml:space="preserve"> </w:t>
      </w:r>
    </w:p>
    <w:p>
      <w:pPr>
        <w:spacing w:after="130" w:line="276"/>
        <w:jc w:val="both"/>
      </w:pPr>
      <w:r>
        <w:rPr>
          <w:color w:val="1A1A2E"/>
          <w:sz w:val="21"/>
          <w:szCs w:val="21"/>
        </w:rPr>
        <w:t xml:space="preserve">Do A first because it maximizes every axis at once, and A and B share almost identical hardware and software — the same device serves both markets, which is exactly the kind of leverage a venture audience rewards.</w:t>
      </w:r>
    </w:p>
    <w:p>
      <w:pPr>
        <w:pStyle w:val="Heading2"/>
        <w:spacing w:after="90" w:before="220"/>
      </w:pPr>
      <w:r>
        <w:rPr>
          <w:b/>
          <w:bCs/>
          <w:color w:val="0B7A75"/>
          <w:sz w:val="24"/>
          <w:szCs w:val="24"/>
        </w:rPr>
        <w:t xml:space="preserve">The narrative arc for a YC-style room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1A1A2E"/>
          <w:sz w:val="21"/>
          <w:szCs w:val="21"/>
        </w:rPr>
        <w:t xml:space="preserve">Problem: </w:t>
      </w:r>
      <w:r>
        <w:rPr>
          <w:color w:val="1A1A2E"/>
          <w:sz w:val="21"/>
          <w:szCs w:val="21"/>
        </w:rPr>
        <w:t xml:space="preserve">&gt;100M stroke survivors, most with a hand that won’t work; recovery depends on therapist time that doesn’t exist — care is under-dosed worldwide.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1A1A2E"/>
          <w:sz w:val="21"/>
          <w:szCs w:val="21"/>
        </w:rPr>
        <w:t xml:space="preserve">Insight: </w:t>
      </w:r>
      <w:r>
        <w:rPr>
          <w:color w:val="1A1A2E"/>
          <w:sz w:val="21"/>
          <w:szCs w:val="21"/>
        </w:rPr>
        <w:t xml:space="preserve">The brain can relearn if intent and movement are linked thousands of times. Today that needs either a therapist or a $-heavy BCI. Neither scales.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1A1A2E"/>
          <w:sz w:val="21"/>
          <w:szCs w:val="21"/>
        </w:rPr>
        <w:t xml:space="preserve">Product: </w:t>
      </w:r>
      <w:r>
        <w:rPr>
          <w:color w:val="1A1A2E"/>
          <w:sz w:val="21"/>
          <w:szCs w:val="21"/>
        </w:rPr>
        <w:t xml:space="preserve">A wearable that reads the patient’s own muscle-intent signal and completes the movement with safe electrical stimulation — autonomous, at home, a fraction of the cost.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1A1A2E"/>
          <w:sz w:val="21"/>
          <w:szCs w:val="21"/>
        </w:rPr>
        <w:t xml:space="preserve">Why us: </w:t>
      </w:r>
      <w:r>
        <w:rPr>
          <w:color w:val="1A1A2E"/>
          <w:sz w:val="21"/>
          <w:szCs w:val="21"/>
        </w:rPr>
        <w:t xml:space="preserve">We already built and safely demoed the hard part — an AI driving a human hand in a closed loop.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1A1A2E"/>
          <w:sz w:val="21"/>
          <w:szCs w:val="21"/>
        </w:rPr>
        <w:t xml:space="preserve">Why now: </w:t>
      </w:r>
      <w:r>
        <w:rPr>
          <w:color w:val="1A1A2E"/>
          <w:sz w:val="21"/>
          <w:szCs w:val="21"/>
        </w:rPr>
        <w:t xml:space="preserve">Cheap edge AI + wearable EMG + validated FES therapy have only just converged; 2025 research proves the approach, no one has productized it for the home.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1A1A2E"/>
          <w:sz w:val="21"/>
          <w:szCs w:val="21"/>
        </w:rPr>
        <w:t xml:space="preserve">Vision: </w:t>
      </w:r>
      <w:r>
        <w:rPr>
          <w:color w:val="1A1A2E"/>
          <w:sz w:val="21"/>
          <w:szCs w:val="21"/>
        </w:rPr>
        <w:t xml:space="preserve">Start with stroke hands; extend to SCI, then toward restoring movement wherever the body’s wiring can be intelligently re-driven — without a prosthetic.</w:t>
      </w:r>
    </w:p>
    <w:p>
      <w:pPr>
        <w:pStyle w:val="Heading1"/>
        <w:spacing w:after="140" w:before="320"/>
      </w:pPr>
      <w:r>
        <w:rPr>
          <w:b/>
          <w:bCs/>
          <w:color w:val="1A1A2E"/>
          <w:sz w:val="30"/>
          <w:szCs w:val="30"/>
        </w:rPr>
        <w:t xml:space="preserve">8. Risks &amp; open questions to pressure-test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1A1A2E"/>
          <w:sz w:val="21"/>
          <w:szCs w:val="21"/>
        </w:rPr>
        <w:t xml:space="preserve">Intent detection from weak/abnormal post-stroke EMG is genuinely hard — have a fallback (motion- or therapist-triggered mode) for the demo.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1A1A2E"/>
          <w:sz w:val="21"/>
          <w:szCs w:val="21"/>
        </w:rPr>
        <w:t xml:space="preserve">Clinical outcomes take time; a hackathon shows the loop and the story, not efficacy. Be explicit about that boundary.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1A1A2E"/>
          <w:sz w:val="21"/>
          <w:szCs w:val="21"/>
        </w:rPr>
        <w:t xml:space="preserve">Regulatory + reimbursement timelines are long; frame them as understood, not solved.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1A1A2E"/>
          <w:sz w:val="21"/>
          <w:szCs w:val="21"/>
        </w:rPr>
        <w:t xml:space="preserve">Competitive response from Ottobock/Neurolutions — your moat is price + autonomy + at-home UX, so protect it there.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1A1A2E"/>
          <w:sz w:val="21"/>
          <w:szCs w:val="21"/>
        </w:rPr>
        <w:t xml:space="preserve">Skin electrodes, fatigue, and calibration are real UX hurdles; acknowledge them.</w:t>
      </w:r>
    </w:p>
    <w:p>
      <w:pPr>
        <w:pStyle w:val="Heading1"/>
        <w:spacing w:after="140" w:before="320"/>
      </w:pPr>
      <w:r>
        <w:rPr>
          <w:b/>
          <w:bCs/>
          <w:color w:val="1A1A2E"/>
          <w:sz w:val="30"/>
          <w:szCs w:val="30"/>
        </w:rPr>
        <w:t xml:space="preserve">9. Suggested next steps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1A1A2E"/>
          <w:sz w:val="21"/>
          <w:szCs w:val="21"/>
        </w:rPr>
        <w:t xml:space="preserve">Confirm the recommended direction (stroke upper-limb lead, SCI fast-follow).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1A1A2E"/>
          <w:sz w:val="21"/>
          <w:szCs w:val="21"/>
        </w:rPr>
        <w:t xml:space="preserve">Green-light the pitch deck; I’ll build it around the Section 7 narrative with the numbers from Section 4.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1A1A2E"/>
          <w:sz w:val="21"/>
          <w:szCs w:val="21"/>
        </w:rPr>
        <w:t xml:space="preserve">Decide the live-demo scope: EMG-intent → hand-open on a healthy volunteer is achievable and powerful.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A1A2E"/>
          <w:sz w:val="30"/>
          <w:szCs w:val="30"/>
        </w:rPr>
        <w:t xml:space="preserve">Sources</w:t>
      </w:r>
    </w:p>
    <w:p>
      <w:pPr>
        <w:spacing w:after="90" w:line="264"/>
      </w:pPr>
      <w:r>
        <w:rPr>
          <w:b/>
          <w:bCs/>
          <w:color w:val="0B7A75"/>
          <w:sz w:val="18"/>
          <w:szCs w:val="18"/>
        </w:rPr>
        <w:t xml:space="preserve">[1] </w:t>
      </w:r>
      <w:r>
        <w:rPr>
          <w:color w:val="1A1A2E"/>
          <w:sz w:val="18"/>
          <w:szCs w:val="18"/>
        </w:rPr>
        <w:t xml:space="preserve">BCI-controlled FES upper-limb stroke rehabilitation — systematic review &amp; meta-analysis (PMC11464471) — </w:t>
      </w:r>
      <w:hyperlink w:history="1" r:id="rIdyrjsyyhp_macss2ovivod">
        <w:r>
          <w:rPr>
            <w:color w:val="1155CC"/>
            <w:sz w:val="16"/>
            <w:szCs w:val="16"/>
            <w:u w:val="single"/>
          </w:rPr>
          <w:t xml:space="preserve">https://pmc.ncbi.nlm.nih.gov/articles/PMC11464471/</w:t>
        </w:r>
      </w:hyperlink>
    </w:p>
    <w:p>
      <w:pPr>
        <w:spacing w:after="90" w:line="264"/>
      </w:pPr>
      <w:r>
        <w:rPr>
          <w:b/>
          <w:bCs/>
          <w:color w:val="0B7A75"/>
          <w:sz w:val="18"/>
          <w:szCs w:val="18"/>
        </w:rPr>
        <w:t xml:space="preserve">[2] </w:t>
      </w:r>
      <w:r>
        <w:rPr>
          <w:color w:val="1A1A2E"/>
          <w:sz w:val="18"/>
          <w:szCs w:val="18"/>
        </w:rPr>
        <w:t xml:space="preserve">WSO Global Stroke Fact Sheet 2022 / 2025 (World Stroke Organization) — </w:t>
      </w:r>
      <w:hyperlink w:history="1" r:id="rIducitludiiin_i1sdnxcme">
        <w:r>
          <w:rPr>
            <w:color w:val="1155CC"/>
            <w:sz w:val="16"/>
            <w:szCs w:val="16"/>
            <w:u w:val="single"/>
          </w:rPr>
          <w:t xml:space="preserve">https://www.world-stroke.org/assets/downloads/WSO_Global_Stroke_Fact_Sheet.pdf</w:t>
        </w:r>
      </w:hyperlink>
    </w:p>
    <w:p>
      <w:pPr>
        <w:spacing w:after="90" w:line="264"/>
      </w:pPr>
      <w:r>
        <w:rPr>
          <w:b/>
          <w:bCs/>
          <w:color w:val="0B7A75"/>
          <w:sz w:val="18"/>
          <w:szCs w:val="18"/>
        </w:rPr>
        <w:t xml:space="preserve">[3] </w:t>
      </w:r>
      <w:r>
        <w:rPr>
          <w:color w:val="1A1A2E"/>
          <w:sz w:val="18"/>
          <w:szCs w:val="18"/>
        </w:rPr>
        <w:t xml:space="preserve">Functional Electrical Stimulation market size &amp; forecast to 2030 — </w:t>
      </w:r>
      <w:hyperlink w:history="1" r:id="rIdlkfpk91ao91ojloz_thqn">
        <w:r>
          <w:rPr>
            <w:color w:val="1155CC"/>
            <w:sz w:val="16"/>
            <w:szCs w:val="16"/>
            <w:u w:val="single"/>
          </w:rPr>
          <w:t xml:space="preserve">https://www.growthplusreports.com/report/functional-electrical-stimulation-market/8307</w:t>
        </w:r>
      </w:hyperlink>
    </w:p>
    <w:p>
      <w:pPr>
        <w:spacing w:after="90" w:line="264"/>
      </w:pPr>
      <w:r>
        <w:rPr>
          <w:b/>
          <w:bCs/>
          <w:color w:val="0B7A75"/>
          <w:sz w:val="18"/>
          <w:szCs w:val="18"/>
        </w:rPr>
        <w:t xml:space="preserve">[4] </w:t>
      </w:r>
      <w:r>
        <w:rPr>
          <w:color w:val="1A1A2E"/>
          <w:sz w:val="18"/>
          <w:szCs w:val="18"/>
        </w:rPr>
        <w:t xml:space="preserve">Automated FES for upper-limb rehabilitation after stroke and SCI (PMC6051484) — </w:t>
      </w:r>
      <w:hyperlink w:history="1" r:id="rId7lyxxpfjgjtovaoaoaxqg">
        <w:r>
          <w:rPr>
            <w:color w:val="1155CC"/>
            <w:sz w:val="16"/>
            <w:szCs w:val="16"/>
            <w:u w:val="single"/>
          </w:rPr>
          <w:t xml:space="preserve">https://www.ncbi.nlm.nih.gov/pmc/articles/PMC6051484/</w:t>
        </w:r>
      </w:hyperlink>
    </w:p>
    <w:p>
      <w:pPr>
        <w:spacing w:after="90" w:line="264"/>
      </w:pPr>
      <w:r>
        <w:rPr>
          <w:b/>
          <w:bCs/>
          <w:color w:val="0B7A75"/>
          <w:sz w:val="18"/>
          <w:szCs w:val="18"/>
        </w:rPr>
        <w:t xml:space="preserve">[5] </w:t>
      </w:r>
      <w:r>
        <w:rPr>
          <w:color w:val="1A1A2E"/>
          <w:sz w:val="18"/>
          <w:szCs w:val="18"/>
        </w:rPr>
        <w:t xml:space="preserve">Prevalence of arm weakness / upper-limb impairment after stroke (PMC10878009) — </w:t>
      </w:r>
      <w:hyperlink w:history="1" r:id="rIdtvqsuw8y-_uo0kh7iunwn">
        <w:r>
          <w:rPr>
            <w:color w:val="1155CC"/>
            <w:sz w:val="16"/>
            <w:szCs w:val="16"/>
            <w:u w:val="single"/>
          </w:rPr>
          <w:t xml:space="preserve">https://www.ncbi.nlm.nih.gov/pmc/articles/PMC10878009/</w:t>
        </w:r>
      </w:hyperlink>
    </w:p>
    <w:p>
      <w:pPr>
        <w:spacing w:after="90" w:line="264"/>
      </w:pPr>
      <w:r>
        <w:rPr>
          <w:b/>
          <w:bCs/>
          <w:color w:val="0B7A75"/>
          <w:sz w:val="18"/>
          <w:szCs w:val="18"/>
        </w:rPr>
        <w:t xml:space="preserve">[6] </w:t>
      </w:r>
      <w:r>
        <w:rPr>
          <w:color w:val="1A1A2E"/>
          <w:sz w:val="18"/>
          <w:szCs w:val="18"/>
        </w:rPr>
        <w:t xml:space="preserve">FES for upper-extremity rehabilitation following SCI — pilot study (PMC10067812) — </w:t>
      </w:r>
      <w:hyperlink w:history="1" r:id="rIdj8r8_ywuyo4bz1zt4sje4">
        <w:r>
          <w:rPr>
            <w:color w:val="1155CC"/>
            <w:sz w:val="16"/>
            <w:szCs w:val="16"/>
            <w:u w:val="single"/>
          </w:rPr>
          <w:t xml:space="preserve">https://pmc.ncbi.nlm.nih.gov/articles/PMC10067812/</w:t>
        </w:r>
      </w:hyperlink>
    </w:p>
    <w:p>
      <w:pPr>
        <w:spacing w:after="90" w:line="264"/>
      </w:pPr>
      <w:r>
        <w:rPr>
          <w:b/>
          <w:bCs/>
          <w:color w:val="0B7A75"/>
          <w:sz w:val="18"/>
          <w:szCs w:val="18"/>
        </w:rPr>
        <w:t xml:space="preserve">[7] </w:t>
      </w:r>
      <w:r>
        <w:rPr>
          <w:color w:val="1A1A2E"/>
          <w:sz w:val="18"/>
          <w:szCs w:val="18"/>
        </w:rPr>
        <w:t xml:space="preserve">Global incidence &amp; characteristics of spinal cord injury 2000–2021 (BMC Medicine) — </w:t>
      </w:r>
      <w:hyperlink w:history="1" r:id="rIdvvr127yvj-czrt93-enhg">
        <w:r>
          <w:rPr>
            <w:color w:val="1155CC"/>
            <w:sz w:val="16"/>
            <w:szCs w:val="16"/>
            <w:u w:val="single"/>
          </w:rPr>
          <w:t xml:space="preserve">https://bmcmedicine.biomedcentral.com/articles/10.1186/s12916-024-03514-9</w:t>
        </w:r>
      </w:hyperlink>
    </w:p>
    <w:p>
      <w:pPr>
        <w:spacing w:after="90" w:line="264"/>
      </w:pPr>
      <w:r>
        <w:rPr>
          <w:b/>
          <w:bCs/>
          <w:color w:val="0B7A75"/>
          <w:sz w:val="18"/>
          <w:szCs w:val="18"/>
        </w:rPr>
        <w:t xml:space="preserve">[8] </w:t>
      </w:r>
      <w:r>
        <w:rPr>
          <w:color w:val="1A1A2E"/>
          <w:sz w:val="18"/>
          <w:szCs w:val="18"/>
        </w:rPr>
        <w:t xml:space="preserve">Peripheral nerve injury: global burden, GBD 2021 (Int. J. Surgery) — </w:t>
      </w:r>
      <w:hyperlink w:history="1" r:id="rId44-8jtl66k1-quppp-883">
        <w:r>
          <w:rPr>
            <w:color w:val="1155CC"/>
            <w:sz w:val="16"/>
            <w:szCs w:val="16"/>
            <w:u w:val="single"/>
          </w:rPr>
          <w:t xml:space="preserve">https://journals.lww.com/international-journal-of-surgery/fulltext/9900/peripheral_nerve_injury__global,_regional,_and.4859.aspx</w:t>
        </w:r>
      </w:hyperlink>
    </w:p>
    <w:p>
      <w:pPr>
        <w:spacing w:after="90" w:line="264"/>
      </w:pPr>
      <w:r>
        <w:rPr>
          <w:b/>
          <w:bCs/>
          <w:color w:val="0B7A75"/>
          <w:sz w:val="18"/>
          <w:szCs w:val="18"/>
        </w:rPr>
        <w:t xml:space="preserve">[9] </w:t>
      </w:r>
      <w:r>
        <w:rPr>
          <w:color w:val="1A1A2E"/>
          <w:sz w:val="18"/>
          <w:szCs w:val="18"/>
        </w:rPr>
        <w:t xml:space="preserve">Electrical stimulation of denervated muscle — narrative review (Artificial Organs, 2026) — </w:t>
      </w:r>
      <w:hyperlink w:history="1" r:id="rId0ajlwuznzzb7g4yhfuqwk">
        <w:r>
          <w:rPr>
            <w:color w:val="1155CC"/>
            <w:sz w:val="16"/>
            <w:szCs w:val="16"/>
            <w:u w:val="single"/>
          </w:rPr>
          <w:t xml:space="preserve">https://onlinelibrary.wiley.com/doi/full/10.1111/aor.70076</w:t>
        </w:r>
      </w:hyperlink>
    </w:p>
    <w:p>
      <w:pPr>
        <w:spacing w:after="90" w:line="264"/>
      </w:pPr>
      <w:r>
        <w:rPr>
          <w:b/>
          <w:bCs/>
          <w:color w:val="0B7A75"/>
          <w:sz w:val="18"/>
          <w:szCs w:val="18"/>
        </w:rPr>
        <w:t xml:space="preserve">[10] </w:t>
      </w:r>
      <w:r>
        <w:rPr>
          <w:color w:val="1A1A2E"/>
          <w:sz w:val="18"/>
          <w:szCs w:val="18"/>
        </w:rPr>
        <w:t xml:space="preserve">Wearable open-source EMG-driven FES neuroprosthesis for hand function (Sensors, 2025) — </w:t>
      </w:r>
      <w:hyperlink w:history="1" r:id="rIdlfo4hiepsks6r-x7mqg4f">
        <w:r>
          <w:rPr>
            <w:color w:val="1155CC"/>
            <w:sz w:val="16"/>
            <w:szCs w:val="16"/>
            <w:u w:val="single"/>
          </w:rPr>
          <w:t xml:space="preserve">https://doi.org/10.3390/s25113282</w:t>
        </w:r>
      </w:hyperlink>
    </w:p>
    <w:p>
      <w:pPr>
        <w:spacing w:after="90" w:line="264"/>
      </w:pPr>
      <w:r>
        <w:rPr>
          <w:b/>
          <w:bCs/>
          <w:color w:val="0B7A75"/>
          <w:sz w:val="18"/>
          <w:szCs w:val="18"/>
        </w:rPr>
        <w:t xml:space="preserve">[11] </w:t>
      </w:r>
      <w:r>
        <w:rPr>
          <w:color w:val="1A1A2E"/>
          <w:sz w:val="18"/>
          <w:szCs w:val="18"/>
        </w:rPr>
        <w:t xml:space="preserve">Neurolutions IpsiHand — FDA De Novo authorization &amp; CMS decision — </w:t>
      </w:r>
      <w:hyperlink w:history="1" r:id="rId62uollrjtezmwyr_teknc">
        <w:r>
          <w:rPr>
            <w:color w:val="1155CC"/>
            <w:sz w:val="16"/>
            <w:szCs w:val="16"/>
            <w:u w:val="single"/>
          </w:rPr>
          <w:t xml:space="preserve">https://www.neurolutions.com/news/neurolutions-receives-fda-de-novo-market-authorization-for-ipsihand/</w:t>
        </w:r>
      </w:hyperlink>
    </w:p>
    <w:p>
      <w:pPr>
        <w:spacing w:after="90" w:line="264"/>
      </w:pPr>
      <w:r>
        <w:rPr>
          <w:b/>
          <w:bCs/>
          <w:color w:val="0B7A75"/>
          <w:sz w:val="18"/>
          <w:szCs w:val="18"/>
        </w:rPr>
        <w:t xml:space="preserve">[12] </w:t>
      </w:r>
      <w:r>
        <w:rPr>
          <w:color w:val="1A1A2E"/>
          <w:sz w:val="18"/>
          <w:szCs w:val="18"/>
        </w:rPr>
        <w:t xml:space="preserve">FES coverage &amp; HCPCS coding (CMS / Noridian Medicare) — </w:t>
      </w:r>
      <w:hyperlink w:history="1" r:id="rId48fcdbitrg0j2c2v_vzxx">
        <w:r>
          <w:rPr>
            <w:color w:val="1155CC"/>
            <w:sz w:val="16"/>
            <w:szCs w:val="16"/>
            <w:u w:val="single"/>
          </w:rPr>
          <w:t xml:space="preserve">https://med.noridianmedicare.com/web/jddme/policies/dmd-articles/fes-coverage-and-hcpcs-coding-revised</w:t>
        </w:r>
      </w:hyperlink>
    </w:p>
    <w:p>
      <w:pPr>
        <w:spacing w:after="90" w:line="264"/>
      </w:pPr>
      <w:r>
        <w:rPr>
          <w:b/>
          <w:bCs/>
          <w:color w:val="0B7A75"/>
          <w:sz w:val="18"/>
          <w:szCs w:val="18"/>
        </w:rPr>
        <w:t xml:space="preserve">[13] </w:t>
      </w:r>
      <w:r>
        <w:rPr>
          <w:color w:val="1A1A2E"/>
          <w:sz w:val="18"/>
          <w:szCs w:val="18"/>
        </w:rPr>
        <w:t xml:space="preserve">High-dose, high-intensity stroke rehabilitation: why aren’t we giving it? (Stroke / AHA) — </w:t>
      </w:r>
      <w:hyperlink w:history="1" r:id="rIdllskbs96bnssjism5kink">
        <w:r>
          <w:rPr>
            <w:color w:val="1155CC"/>
            <w:sz w:val="16"/>
            <w:szCs w:val="16"/>
            <w:u w:val="single"/>
          </w:rPr>
          <w:t xml:space="preserve">https://www.ahajournals.org/doi/10.1161/STROKEAHA.124.043650</w:t>
        </w:r>
      </w:hyperlink>
    </w:p>
    <w:p>
      <w:pPr>
        <w:spacing w:before="160"/>
      </w:pPr>
      <w:r>
        <w:rPr>
          <w:i/>
          <w:iCs/>
          <w:color w:val="5A5A6E"/>
          <w:sz w:val="16"/>
          <w:szCs w:val="16"/>
        </w:rPr>
        <w:t xml:space="preserve">Note: market-size figures vary by analyst scope; epidemiology figures are drawn from GBD 2021 and WSO fact sheets. Where sources differ, ranges are given rather than false precision.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0B7A7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rjsyyhp_macss2ovivod" Type="http://schemas.openxmlformats.org/officeDocument/2006/relationships/hyperlink" Target="https://pmc.ncbi.nlm.nih.gov/articles/PMC11464471/" TargetMode="External"/><Relationship Id="rIducitludiiin_i1sdnxcme" Type="http://schemas.openxmlformats.org/officeDocument/2006/relationships/hyperlink" Target="https://www.world-stroke.org/assets/downloads/WSO_Global_Stroke_Fact_Sheet.pdf" TargetMode="External"/><Relationship Id="rIdlkfpk91ao91ojloz_thqn" Type="http://schemas.openxmlformats.org/officeDocument/2006/relationships/hyperlink" Target="https://www.growthplusreports.com/report/functional-electrical-stimulation-market/8307" TargetMode="External"/><Relationship Id="rId7lyxxpfjgjtovaoaoaxqg" Type="http://schemas.openxmlformats.org/officeDocument/2006/relationships/hyperlink" Target="https://www.ncbi.nlm.nih.gov/pmc/articles/PMC6051484/" TargetMode="External"/><Relationship Id="rIdtvqsuw8y-_uo0kh7iunwn" Type="http://schemas.openxmlformats.org/officeDocument/2006/relationships/hyperlink" Target="https://www.ncbi.nlm.nih.gov/pmc/articles/PMC10878009/" TargetMode="External"/><Relationship Id="rIdj8r8_ywuyo4bz1zt4sje4" Type="http://schemas.openxmlformats.org/officeDocument/2006/relationships/hyperlink" Target="https://pmc.ncbi.nlm.nih.gov/articles/PMC10067812/" TargetMode="External"/><Relationship Id="rIdvvr127yvj-czrt93-enhg" Type="http://schemas.openxmlformats.org/officeDocument/2006/relationships/hyperlink" Target="https://bmcmedicine.biomedcentral.com/articles/10.1186/s12916-024-03514-9" TargetMode="External"/><Relationship Id="rId44-8jtl66k1-quppp-883" Type="http://schemas.openxmlformats.org/officeDocument/2006/relationships/hyperlink" Target="https://journals.lww.com/international-journal-of-surgery/fulltext/9900/peripheral_nerve_injury__global,_regional,_and.4859.aspx" TargetMode="External"/><Relationship Id="rId0ajlwuznzzb7g4yhfuqwk" Type="http://schemas.openxmlformats.org/officeDocument/2006/relationships/hyperlink" Target="https://onlinelibrary.wiley.com/doi/full/10.1111/aor.70076" TargetMode="External"/><Relationship Id="rIdlfo4hiepsks6r-x7mqg4f" Type="http://schemas.openxmlformats.org/officeDocument/2006/relationships/hyperlink" Target="https://doi.org/10.3390/s25113282" TargetMode="External"/><Relationship Id="rId62uollrjtezmwyr_teknc" Type="http://schemas.openxmlformats.org/officeDocument/2006/relationships/hyperlink" Target="https://www.neurolutions.com/news/neurolutions-receives-fda-de-novo-market-authorization-for-ipsihand/" TargetMode="External"/><Relationship Id="rId48fcdbitrg0j2c2v_vzxx" Type="http://schemas.openxmlformats.org/officeDocument/2006/relationships/hyperlink" Target="https://med.noridianmedicare.com/web/jddme/policies/dmd-articles/fes-coverage-and-hcpcs-coding-revised" TargetMode="External"/><Relationship Id="rIdllskbs96bnssjism5kink" Type="http://schemas.openxmlformats.org/officeDocument/2006/relationships/hyperlink" Target="https://www.ahajournals.org/doi/10.1161/STROKEAHA.124.043650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2026-07-23T17:05:30.173Z</dcterms:created>
  <dcterms:modified xsi:type="dcterms:W3CDTF">2026-07-23T17:05:30.173Z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