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footer15.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Title"/>
        <w:spacing w:lineRule="auto" w:line="269" w:before="58" w:after="0"/>
        <w:rPr/>
      </w:pPr>
      <w:r>
        <w:rPr>
          <w:color w:val="151515"/>
        </w:rPr>
        <w:t>Nested Patient-Grouped Benchmarking of 3D Deep-Learning</w:t>
      </w:r>
      <w:r>
        <w:rPr>
          <w:color w:val="151515"/>
          <w:spacing w:val="-8"/>
        </w:rPr>
        <w:t xml:space="preserve"> </w:t>
      </w:r>
      <w:r>
        <w:rPr>
          <w:color w:val="151515"/>
        </w:rPr>
        <w:t>Pipelines</w:t>
      </w:r>
      <w:r>
        <w:rPr>
          <w:color w:val="151515"/>
          <w:spacing w:val="-9"/>
        </w:rPr>
        <w:t xml:space="preserve"> </w:t>
      </w:r>
      <w:r>
        <w:rPr>
          <w:color w:val="151515"/>
        </w:rPr>
        <w:t>for</w:t>
      </w:r>
      <w:r>
        <w:rPr>
          <w:color w:val="151515"/>
          <w:spacing w:val="-8"/>
        </w:rPr>
        <w:t xml:space="preserve"> </w:t>
      </w:r>
      <w:r>
        <w:rPr>
          <w:color w:val="151515"/>
        </w:rPr>
        <w:t>Multiclass</w:t>
      </w:r>
      <w:r>
        <w:rPr>
          <w:color w:val="151515"/>
          <w:spacing w:val="-9"/>
        </w:rPr>
        <w:t xml:space="preserve"> </w:t>
      </w:r>
      <w:r>
        <w:rPr>
          <w:color w:val="151515"/>
        </w:rPr>
        <w:t>Postoperative</w:t>
      </w:r>
      <w:r>
        <w:rPr>
          <w:color w:val="151515"/>
          <w:spacing w:val="-8"/>
        </w:rPr>
        <w:t xml:space="preserve"> </w:t>
      </w:r>
      <w:r>
        <w:rPr>
          <w:color w:val="151515"/>
        </w:rPr>
        <w:t>Glioma Segmentation on Longitudinal MRI</w:t>
      </w:r>
    </w:p>
    <w:p>
      <w:pPr>
        <w:pStyle w:val="BodyText"/>
        <w:spacing w:before="19" w:after="0"/>
        <w:ind w:start="0"/>
        <w:jc w:val="start"/>
        <w:rPr>
          <w:b/>
          <w:sz w:val="40"/>
        </w:rPr>
      </w:pPr>
      <w:r>
        <w:rPr>
          <w:b/>
          <w:sz w:val="40"/>
        </w:rPr>
      </w:r>
    </w:p>
    <w:p>
      <w:pPr>
        <w:pStyle w:val="BodyText"/>
        <w:spacing w:lineRule="auto" w:line="449" w:before="0" w:after="0"/>
        <w:ind w:hanging="741" w:start="2372" w:end="1681"/>
        <w:jc w:val="center"/>
        <w:rPr/>
      </w:pPr>
      <w:r>
        <w:rPr>
          <w:color w:val="151515"/>
        </w:rPr>
        <w:t>Atilla Mustafa, Jamila Jabrayilli, Elkhan Aghakishiyev, Alasgar Aliyev</w:t>
      </w:r>
    </w:p>
    <w:p>
      <w:pPr>
        <w:pStyle w:val="BodyText"/>
        <w:spacing w:lineRule="auto" w:line="449" w:before="1" w:after="0"/>
        <w:ind w:hanging="0" w:start="2485" w:end="2077"/>
        <w:jc w:val="center"/>
        <w:rPr/>
        <w:sectPr>
          <w:type w:val="nextPage"/>
          <w:pgSz w:w="11906" w:h="16838"/>
          <w:pgMar w:left="1133" w:right="992" w:gutter="0" w:header="0" w:top="1200" w:footer="0" w:bottom="280"/>
          <w:pgNumType w:fmt="decimal"/>
          <w:formProt w:val="false"/>
          <w:textDirection w:val="lrTb"/>
          <w:docGrid w:type="default" w:linePitch="100" w:charSpace="0"/>
        </w:sectPr>
      </w:pPr>
      <w:r>
        <w:rPr>
          <w:color w:val="151515"/>
        </w:rPr>
        <w:t>Supervisor and corresponding author: Alasgar Aliyev</w:t>
      </w:r>
    </w:p>
    <w:p>
      <w:pPr>
        <w:pStyle w:val="BodyText"/>
        <w:numPr>
          <w:ilvl w:val="0"/>
          <w:numId w:val="0"/>
        </w:numPr>
        <w:spacing w:before="16" w:after="0"/>
        <w:ind w:start="31"/>
        <w:outlineLvl w:val="0"/>
        <w:rPr>
          <w:b/>
          <w:color w:val="151515"/>
        </w:rPr>
      </w:pPr>
      <w:bookmarkStart w:id="0" w:name="Abstract"/>
      <w:bookmarkEnd w:id="0"/>
      <w:r>
        <w:rPr>
          <w:b/>
          <w:color w:val="151515"/>
        </w:rPr>
        <w:t>ABSTRACT</w:t>
      </w:r>
    </w:p>
    <w:p>
      <w:pPr>
        <w:pStyle w:val="BodyText"/>
        <w:spacing w:before="16" w:after="0"/>
        <w:rPr>
          <w:color w:val="151515"/>
        </w:rPr>
      </w:pPr>
      <w:r>
        <w:rPr>
          <w:color w:val="151515"/>
        </w:rPr>
      </w:r>
    </w:p>
    <w:p>
      <w:pPr>
        <w:pStyle w:val="BodyText"/>
        <w:spacing w:lineRule="auto" w:line="360" w:before="16" w:after="0"/>
        <w:rPr>
          <w:color w:val="151515"/>
        </w:rPr>
      </w:pPr>
      <w:r>
        <w:rPr>
          <w:color w:val="151515"/>
        </w:rPr>
        <w:t>Segmenting post-operative gliomas is challenging due to treatment-related changes, post-resection cavities, longitudinal imaging, and the absence of target structures in specific MRI scans. Model comparisons can be compromised by inter-patient data leakage, checkpoint selection based on test data, insufficient training duration, reliance on a single random initialization, and the use of metrics that fail to account for boundaries, distinct lesions, or the absence of target structures.</w:t>
      </w:r>
    </w:p>
    <w:p>
      <w:pPr>
        <w:pStyle w:val="BodyText"/>
        <w:spacing w:lineRule="auto" w:line="360" w:before="16" w:after="0"/>
        <w:rPr>
          <w:color w:val="151515"/>
        </w:rPr>
      </w:pPr>
      <w:r>
        <w:rPr>
          <w:color w:val="151515"/>
        </w:rPr>
        <w:t>This retrospective internal benchmark compares 3D U-Net, Residual 3D U-Net, 3D V-Net, and 3D U-Net++ models within a controlled Keras-based pipeline and evaluates nnU-Net v2 (full-resolution mode) as a practical benchmark for the entire pipeline. The study utilizes 594 annotated post-operative MRI scans acquired at various time points from 203 patients, sourced from the publicly available MU-Glioma-Post dataset. Five patient-grouped outer folds provide out-of-fold evaluation, while separate patient-grouped inner splits are used for checkpoint selection. The experimental design also incorporates additional training runs with varying random initializations.</w:t>
      </w:r>
    </w:p>
    <w:p>
      <w:pPr>
        <w:pStyle w:val="BodyText"/>
        <w:spacing w:lineRule="auto" w:line="360" w:before="16" w:after="0"/>
        <w:ind w:start="0"/>
        <w:jc w:val="start"/>
        <w:rPr/>
      </w:pPr>
      <w:r>
        <w:rPr>
          <w:color w:val="151515"/>
        </w:rPr>
        <w:t>The evaluation covers patient-level overlap, surface accuracy, lesion detection, false-positive behavior in the absence of reference annotations, variability across folds and random initializations, and computational efficiency. Complete model checkpoints, logs, configurations, and prediction volumes are preserved to facilitate a standardized and auditable comparison.</w:t>
      </w:r>
    </w:p>
    <w:p>
      <w:pPr>
        <w:pStyle w:val="Normal"/>
        <w:spacing w:lineRule="auto" w:line="360"/>
        <w:ind w:start="31" w:end="225"/>
        <w:rPr>
          <w:color w:val="151515"/>
          <w:sz w:val="20"/>
        </w:rPr>
      </w:pPr>
      <w:r>
        <w:rPr>
          <w:color w:val="151515"/>
          <w:sz w:val="20"/>
        </w:rPr>
      </w:r>
    </w:p>
    <w:p>
      <w:pPr>
        <w:pStyle w:val="Normal"/>
        <w:spacing w:lineRule="auto" w:line="360"/>
        <w:ind w:start="31" w:end="225"/>
        <w:rPr>
          <w:sz w:val="20"/>
        </w:rPr>
      </w:pPr>
      <w:r>
        <w:rPr>
          <w:color w:val="151515"/>
          <w:sz w:val="20"/>
        </w:rPr>
        <w:t>Keywords:</w:t>
      </w:r>
      <w:r>
        <w:rPr>
          <w:color w:val="151515"/>
          <w:spacing w:val="-4"/>
          <w:sz w:val="20"/>
        </w:rPr>
        <w:t xml:space="preserve"> </w:t>
      </w:r>
      <w:r>
        <w:rPr>
          <w:color w:val="151515"/>
          <w:sz w:val="20"/>
        </w:rPr>
        <w:t>postoperative</w:t>
      </w:r>
      <w:r>
        <w:rPr>
          <w:color w:val="151515"/>
          <w:spacing w:val="-4"/>
          <w:sz w:val="20"/>
        </w:rPr>
        <w:t xml:space="preserve"> </w:t>
      </w:r>
      <w:r>
        <w:rPr>
          <w:color w:val="151515"/>
          <w:sz w:val="20"/>
        </w:rPr>
        <w:t>glioma;</w:t>
      </w:r>
      <w:r>
        <w:rPr>
          <w:color w:val="151515"/>
          <w:spacing w:val="-4"/>
          <w:sz w:val="20"/>
        </w:rPr>
        <w:t xml:space="preserve"> </w:t>
      </w:r>
      <w:r>
        <w:rPr>
          <w:color w:val="151515"/>
          <w:sz w:val="20"/>
        </w:rPr>
        <w:t>magnetic</w:t>
      </w:r>
      <w:r>
        <w:rPr>
          <w:color w:val="151515"/>
          <w:spacing w:val="-4"/>
          <w:sz w:val="20"/>
        </w:rPr>
        <w:t xml:space="preserve"> </w:t>
      </w:r>
      <w:r>
        <w:rPr>
          <w:color w:val="151515"/>
          <w:sz w:val="20"/>
        </w:rPr>
        <w:t>resonance</w:t>
      </w:r>
      <w:r>
        <w:rPr>
          <w:color w:val="151515"/>
          <w:spacing w:val="-5"/>
          <w:sz w:val="20"/>
        </w:rPr>
        <w:t xml:space="preserve"> </w:t>
      </w:r>
      <w:r>
        <w:rPr>
          <w:color w:val="151515"/>
          <w:sz w:val="20"/>
        </w:rPr>
        <w:t>imaging;</w:t>
      </w:r>
      <w:r>
        <w:rPr>
          <w:color w:val="151515"/>
          <w:spacing w:val="-4"/>
          <w:sz w:val="20"/>
        </w:rPr>
        <w:t xml:space="preserve"> </w:t>
      </w:r>
      <w:r>
        <w:rPr>
          <w:color w:val="151515"/>
          <w:sz w:val="20"/>
        </w:rPr>
        <w:t>semantic</w:t>
      </w:r>
      <w:r>
        <w:rPr>
          <w:color w:val="151515"/>
          <w:spacing w:val="-5"/>
          <w:sz w:val="20"/>
        </w:rPr>
        <w:t xml:space="preserve"> </w:t>
      </w:r>
      <w:r>
        <w:rPr>
          <w:color w:val="151515"/>
          <w:sz w:val="20"/>
        </w:rPr>
        <w:t>segmentation;</w:t>
      </w:r>
      <w:r>
        <w:rPr>
          <w:color w:val="151515"/>
          <w:spacing w:val="-5"/>
          <w:sz w:val="20"/>
        </w:rPr>
        <w:t xml:space="preserve"> </w:t>
      </w:r>
      <w:r>
        <w:rPr>
          <w:color w:val="151515"/>
          <w:sz w:val="20"/>
        </w:rPr>
        <w:t>cross-validation;</w:t>
      </w:r>
      <w:r>
        <w:rPr>
          <w:color w:val="151515"/>
          <w:spacing w:val="-5"/>
          <w:sz w:val="20"/>
        </w:rPr>
        <w:t xml:space="preserve"> </w:t>
      </w:r>
      <w:r>
        <w:rPr>
          <w:color w:val="151515"/>
          <w:sz w:val="20"/>
        </w:rPr>
        <w:t>3D</w:t>
      </w:r>
      <w:r>
        <w:rPr>
          <w:color w:val="151515"/>
          <w:spacing w:val="-4"/>
          <w:sz w:val="20"/>
        </w:rPr>
        <w:t xml:space="preserve"> </w:t>
      </w:r>
      <w:r>
        <w:rPr>
          <w:color w:val="151515"/>
          <w:sz w:val="20"/>
        </w:rPr>
        <w:t>U-Net;</w:t>
      </w:r>
      <w:r>
        <w:rPr>
          <w:color w:val="151515"/>
          <w:spacing w:val="-5"/>
          <w:sz w:val="20"/>
        </w:rPr>
        <w:t xml:space="preserve"> </w:t>
      </w:r>
      <w:r>
        <w:rPr>
          <w:color w:val="151515"/>
          <w:sz w:val="20"/>
        </w:rPr>
        <w:t>V-Net; U-Net++; nnU-Net</w:t>
      </w:r>
    </w:p>
    <w:p>
      <w:pPr>
        <w:pStyle w:val="BodyText"/>
        <w:spacing w:before="0" w:after="0"/>
        <w:ind w:start="0"/>
        <w:jc w:val="start"/>
        <w:rPr>
          <w:sz w:val="20"/>
        </w:rPr>
      </w:pPr>
      <w:r>
        <w:rPr>
          <w:sz w:val="20"/>
        </w:rPr>
      </w:r>
    </w:p>
    <w:p>
      <w:pPr>
        <w:pStyle w:val="BodyText"/>
        <w:spacing w:before="97" w:after="0"/>
        <w:ind w:start="0"/>
        <w:jc w:val="start"/>
        <w:rPr>
          <w:sz w:val="20"/>
        </w:rPr>
      </w:pPr>
      <w:r>
        <w:rPr>
          <w:sz w:val="20"/>
        </w:rPr>
      </w:r>
    </w:p>
    <w:p>
      <w:pPr>
        <w:pStyle w:val="ListParagraph"/>
        <w:numPr>
          <w:ilvl w:val="0"/>
          <w:numId w:val="0"/>
        </w:numPr>
        <w:ind w:hanging="0" w:start="720"/>
        <w:outlineLvl w:val="0"/>
        <w:rPr>
          <w:b/>
        </w:rPr>
      </w:pPr>
      <w:bookmarkStart w:id="1" w:name="1._Introduction"/>
      <w:bookmarkEnd w:id="1"/>
      <w:r>
        <w:rPr>
          <w:b/>
        </w:rPr>
        <w:t>Introduction</w:t>
      </w:r>
    </w:p>
    <w:p>
      <w:pPr>
        <w:pStyle w:val="BodyText"/>
        <w:spacing w:lineRule="auto" w:line="302"/>
        <w:rPr>
          <w:color w:val="151515"/>
        </w:rPr>
      </w:pPr>
      <w:r>
        <w:rPr>
          <w:color w:val="151515"/>
        </w:rPr>
        <w:t>Postoperative MRI for gliomas can reveal residual or recurrent contrast-enhancing tissue, non-enhancing tumor components, peritumoral hyperintensity on FLAIR images, treatment-related changes, and the post-resection cavity. These manifestations vary both between patients and across longitudinal studies of the same patient. Automated volumetry can enhance the reproducibility of imaging studies and facilitate longitudinal patient assessment; however, technical data must be evaluated beforehand—avoiding data leakage and employing metrics appropriate for postoperative anatomy.</w:t>
      </w:r>
    </w:p>
    <w:p>
      <w:pPr>
        <w:pStyle w:val="BodyText"/>
        <w:spacing w:lineRule="auto" w:line="302"/>
        <w:rPr>
          <w:color w:val="151515"/>
        </w:rPr>
      </w:pPr>
      <w:r>
        <w:rPr>
          <w:color w:val="151515"/>
        </w:rPr>
        <w:t>MU-Glioma-Post is a publicly available dataset comprising longitudinal, multimodal postoperative MRI scans and voxel-wise reference segmentations from 203 patients [1,2]. Its hierarchical structure poses a specific risk during validation. If scans from a single patient taken at different time points are distributed across both training and test sets, stable anatomical features and imaging characteristics can become a direct source of data leakage. Consequently, random splitting at the individual scan level can lead to an overestimation of the model's generalization capability. Data partitioning and statistical aggregation must be performed at the patient level.</w:t>
      </w:r>
    </w:p>
    <w:p>
      <w:pPr>
        <w:pStyle w:val="BodyText"/>
        <w:spacing w:lineRule="auto" w:line="302"/>
        <w:rPr>
          <w:color w:val="151515"/>
        </w:rPr>
      </w:pPr>
      <w:r>
        <w:rPr>
          <w:color w:val="151515"/>
        </w:rPr>
        <w:t>The models under consideration rely on similar yet distinct architectural designs. U-Net employs an encoder-decoder structure with long skip connections [3]. V-Net introduced the use of volumetric convolutions and residual learning for segmentation [4]. Residual blocks learn adjustments relative to identity or projected short connections, potentially improving optimization [5]. U-Net++ utilizes nested, dense skip pathways designed to reduce the semantic gap between encoder and decoder features [6]. nnU-Net goes beyond a mere architecture: it adapts preprocessing, network configuration, patch sampling, augmentation, optimization, and inference to the specific dataset [7]. Thus, the four models implemented in Keras can be compared within a unified pipeline, whereas nnU-Net should be viewed as a practical comparator for the entire pipeline.</w:t>
      </w:r>
    </w:p>
    <w:p>
      <w:pPr>
        <w:pStyle w:val="BodyText"/>
        <w:spacing w:lineRule="auto" w:line="302"/>
        <w:rPr>
          <w:color w:val="151515"/>
        </w:rPr>
      </w:pPr>
      <w:r>
        <w:rPr>
          <w:color w:val="151515"/>
        </w:rPr>
        <w:t>A single overlap metric is insufficient for this task. The Dice score can mask significant boundary errors, fragmented predictions, missed small lesions, and predictions made in the absence of a corresponding reference class. Recommendations for metric selection also emphasize the importance of the hierarchical level of analysis and a specific approach to handling empty structures [8]. Therefore, a robust benchmark for post-operative segmentation must preserve full prediction volumes and apply consistent evaluation rules—covering overlap, surface accuracy, lesion detection, and false positives in the absence of a reference structure—across all models.</w:t>
      </w:r>
    </w:p>
    <w:p>
      <w:pPr>
        <w:pStyle w:val="BodyText"/>
        <w:spacing w:lineRule="auto" w:line="360" w:before="230" w:after="0"/>
        <w:rPr>
          <w:color w:val="151515"/>
        </w:rPr>
      </w:pPr>
      <w:r>
        <w:rPr>
          <w:color w:val="151515"/>
        </w:rPr>
        <w:t>Previous studies have shown that 3D nnU-Net is capable of segmenting and longitudinally quantifying post-treatment glioma tissue [10], while the publicly available UCSF-ALPTDG dataset demonstrates the importance and feasibility of using expert-annotated post-treatment data [12]. This study addresses a more specific methodological question using the MU-Glioma-Post dataset: how do fixed 3D architectures compare when patient grouping, checkpoint selection, training opportunity, and the evaluation procedure are standardized beforehand?</w:t>
      </w:r>
    </w:p>
    <w:p>
      <w:pPr>
        <w:pStyle w:val="BodyText"/>
        <w:spacing w:lineRule="auto" w:line="360" w:before="230" w:after="0"/>
        <w:ind w:start="0"/>
        <w:jc w:val="start"/>
        <w:rPr/>
      </w:pPr>
      <w:r>
        <w:rPr>
          <w:color w:val="151515"/>
        </w:rPr>
        <w:t>The study aims were to: (1) compare 3D U-Net, Residual 3D U-Net, 3D V-Net, and 3D U-Net++ models within a unified, controlled Keras pipeline using five-fold cross-validation predictions; (2) compare a predefined baseline Residual U-Net model against nnU-Net as a benchmark for the entire pipeline; and (3) quantify variability across folds and different random training initializations; and (4) evaluate class overlap, boundary definition accuracy, lesion detection, and the rate of false-positive results in the absence of a reference structure, using complete and auditable prediction sets.</w:t>
      </w:r>
    </w:p>
    <w:p>
      <w:pPr>
        <w:pStyle w:val="Heading1"/>
        <w:tabs>
          <w:tab w:val="clear" w:pos="720"/>
          <w:tab w:val="left" w:pos="341" w:leader="none"/>
        </w:tabs>
        <w:ind w:hanging="0" w:start="0"/>
        <w:rPr/>
      </w:pPr>
      <w:r>
        <w:rPr/>
      </w:r>
      <w:bookmarkStart w:id="2" w:name="2._Materials_and_methods"/>
      <w:bookmarkEnd w:id="2"/>
    </w:p>
    <w:p>
      <w:pPr>
        <w:pStyle w:val="ListParagraph"/>
        <w:numPr>
          <w:ilvl w:val="0"/>
          <w:numId w:val="2"/>
        </w:numPr>
        <w:outlineLvl w:val="0"/>
        <w:rPr>
          <w:b/>
        </w:rPr>
      </w:pPr>
      <w:r>
        <w:rPr>
          <w:b/>
        </w:rPr>
        <w:t>Materials and methods</w:t>
      </w:r>
    </w:p>
    <w:p>
      <w:pPr>
        <w:pStyle w:val="BodyText"/>
        <w:spacing w:before="71" w:after="0"/>
        <w:ind w:start="0"/>
        <w:jc w:val="start"/>
        <w:rPr>
          <w:rFonts w:ascii="Arial" w:hAnsi="Arial"/>
          <w:b/>
          <w:sz w:val="28"/>
        </w:rPr>
      </w:pPr>
      <w:r>
        <w:rPr>
          <w:rFonts w:ascii="Arial" w:hAnsi="Arial"/>
          <w:b/>
          <w:sz w:val="28"/>
        </w:rPr>
      </w:r>
    </w:p>
    <w:p>
      <w:pPr>
        <w:pStyle w:val="ListParagraph"/>
        <w:numPr>
          <w:ilvl w:val="1"/>
          <w:numId w:val="3"/>
        </w:numPr>
        <w:outlineLvl w:val="1"/>
        <w:rPr>
          <w:b/>
        </w:rPr>
      </w:pPr>
      <w:bookmarkStart w:id="3" w:name="2.1_Study_design_and_reporting_boundary"/>
      <w:bookmarkEnd w:id="3"/>
      <w:r>
        <w:rPr>
          <w:b/>
        </w:rPr>
        <w:t>Study design and reporting boundary</w:t>
      </w:r>
    </w:p>
    <w:p>
      <w:pPr>
        <w:pStyle w:val="BodyText"/>
        <w:spacing w:lineRule="auto" w:line="360" w:before="99" w:after="0"/>
        <w:rPr>
          <w:color w:val="151515"/>
        </w:rPr>
      </w:pPr>
      <w:r>
        <w:rPr>
          <w:color w:val="151515"/>
        </w:rPr>
        <w:t>This is a retrospective secondary analysis of a publicly available medical image dataset and an internal technical study comparing models. The study was not an assessment of diagnostic accuracy, a prospective study, or a study aimed at clinical implementation. The run matrix, outer data splits, analysis plan, requirements for preserved artifacts, and working notebooks were established prior to finalizing the adjusted experiment matrix. The patient served as the independent statistical unit of analysis. Terminology and reporting principles were developed in accordance with the CLAIM 2024 and Metrics Reloaded guidelines [8, 9].</w:t>
      </w:r>
    </w:p>
    <w:p>
      <w:pPr>
        <w:pStyle w:val="BodyText"/>
        <w:spacing w:before="99" w:after="0"/>
        <w:rPr>
          <w:color w:val="151515"/>
        </w:rPr>
      </w:pPr>
      <w:r>
        <w:rPr>
          <w:color w:val="151515"/>
        </w:rPr>
      </w:r>
    </w:p>
    <w:p>
      <w:pPr>
        <w:pStyle w:val="ListParagraph"/>
        <w:numPr>
          <w:ilvl w:val="1"/>
          <w:numId w:val="3"/>
        </w:numPr>
        <w:outlineLvl w:val="1"/>
        <w:rPr>
          <w:b/>
        </w:rPr>
      </w:pPr>
      <w:bookmarkStart w:id="4" w:name="2.2_Dataset,_reference_standard,_and_eli"/>
      <w:bookmarkEnd w:id="4"/>
      <w:r>
        <w:rPr>
          <w:b/>
        </w:rPr>
        <w:t>Dataset, reference standard, and eligibility</w:t>
      </w:r>
    </w:p>
    <w:p>
      <w:pPr>
        <w:pStyle w:val="BodyText"/>
        <w:spacing w:lineRule="auto" w:line="360" w:before="96" w:after="0"/>
        <w:rPr>
          <w:color w:val="151515"/>
        </w:rPr>
      </w:pPr>
      <w:r>
        <w:rPr>
          <w:color w:val="151515"/>
        </w:rPr>
        <w:t>The local MU-Glioma-Post registry contained 596 longitudinal study records from various time points. A study was considered to meet the inclusion criteria if it included native T1-weighted images, contrast-enhanced T1-weighted images, T2-weighted images, T2-FLAIR images, and reference segmentation volumes. Two studies lacking reference masks were excluded, resulting in 594 annotated studies from various time points across 203 patients. The original article reports a cohort of 119 men and 84 women, with a mean age of 57.55 years and 192 (94.6%) patients of White ethnicity [1]; no analysis of model performance across demographic subgroups was conducted in the present study.</w:t>
      </w:r>
    </w:p>
    <w:p>
      <w:pPr>
        <w:pStyle w:val="BodyText"/>
        <w:spacing w:lineRule="auto" w:line="360" w:before="96" w:after="0"/>
        <w:rPr>
          <w:color w:val="151515"/>
        </w:rPr>
      </w:pPr>
      <w:r>
        <w:rPr>
          <w:color w:val="151515"/>
        </w:rPr>
        <w:t>The provided images underwent skull stripping, co-registration, and resampling, and were saved as NIfTI volumes [1]. Reference labels included background (0), non-enhancing tumor component (1), surrounding non-enhancing FLAIR hyperintensity (2), contrast-enhancing tissue (3), and post-resection cavity (4). Initial automated segmentations for the dataset were obtained using an ensemble of deep learning models comprising nnU-Net, DeepMedic, and DeepScan [1]. Subsequently, the dataset creators implemented a three-tier quality control process: initial correction, independent review by radiologists in training, and final consensus by two board-certified neuroradiologists [1]. Therefore, we use the term "reference standard" rather than "ground truth." Such rigorous quality control significantly reduces, yet does not allow for the full assessment or elimination of, the residual influence of the initial automatic initialization.</w:t>
      </w:r>
    </w:p>
    <w:p>
      <w:pPr>
        <w:pStyle w:val="BodyText"/>
        <w:spacing w:lineRule="auto" w:line="360" w:before="96" w:after="0"/>
        <w:ind w:start="0"/>
        <w:jc w:val="start"/>
        <w:rPr>
          <w:color w:val="151515"/>
        </w:rPr>
      </w:pPr>
      <w:r>
        <w:rPr>
          <w:color w:val="151515"/>
        </w:rPr>
        <w:t>Six target structures were defined for evaluation: labels 1, 2, 3, and 4 individually; a combined tumor region comprising labels 1–3; and a combined postoperative region comprising labels 1–4.</w:t>
      </w:r>
    </w:p>
    <w:p>
      <w:pPr>
        <w:pStyle w:val="BodyText"/>
        <w:spacing w:lineRule="auto" w:line="360" w:before="96" w:after="0"/>
        <w:ind w:start="0"/>
        <w:jc w:val="start"/>
        <w:rPr/>
      </w:pPr>
      <w:r>
        <w:rPr/>
      </w:r>
    </w:p>
    <w:p>
      <w:pPr>
        <w:pStyle w:val="ListParagraph"/>
        <w:numPr>
          <w:ilvl w:val="1"/>
          <w:numId w:val="3"/>
        </w:numPr>
        <w:outlineLvl w:val="1"/>
        <w:rPr>
          <w:b/>
        </w:rPr>
      </w:pPr>
      <w:bookmarkStart w:id="5" w:name="2.3_Patient-grouped_outer_and_inner_part"/>
      <w:bookmarkEnd w:id="5"/>
      <w:r>
        <w:rPr>
          <w:b/>
        </w:rPr>
        <w:t>Patient-grouped outer and inner partitions</w:t>
      </w:r>
    </w:p>
    <w:p>
      <w:pPr>
        <w:pStyle w:val="Normal"/>
        <w:spacing w:lineRule="auto" w:line="360" w:before="204" w:after="0"/>
        <w:ind w:start="31"/>
        <w:jc w:val="both"/>
        <w:rPr>
          <w:color w:val="151515"/>
          <w:sz w:val="21"/>
          <w:szCs w:val="21"/>
        </w:rPr>
      </w:pPr>
      <w:r>
        <w:rPr>
          <w:color w:val="151515"/>
          <w:sz w:val="21"/>
          <w:szCs w:val="21"/>
        </w:rPr>
        <w:t>All scans for each patient at various time points remained within the same subset. Patients were deterministically assigned to five outer folds using a random state seed of 2026. The outer folds contained 41, 41, 41, 40, and 40 patients, respectively, along with 119, 119, 119, 119, and 118 scans across different time points. Thus, within the main experimental matrix, each patient contributed one out-of-fold result for each architecture.</w:t>
      </w:r>
    </w:p>
    <w:p>
      <w:pPr>
        <w:pStyle w:val="Normal"/>
        <w:spacing w:lineRule="auto" w:line="360" w:before="204" w:after="0"/>
        <w:ind w:start="31"/>
        <w:jc w:val="both"/>
        <w:rPr>
          <w:color w:val="151515"/>
          <w:sz w:val="21"/>
          <w:szCs w:val="21"/>
        </w:rPr>
      </w:pPr>
      <w:r>
        <w:rPr>
          <w:color w:val="151515"/>
          <w:sz w:val="21"/>
          <w:szCs w:val="21"/>
        </w:rPr>
        <w:t>For each fold, patients not included in the outer test set were further split into fitting and inner-tuning groups using seeds 6203–6207. Model checkpointing, learning rate scheduling, and early stopping were based solely on the inner-tuning group. The outer test fold was accessed only once for full-volume inference using the selected checkpoint. The fixed split files and their SHA-256 identifiers are preserved in the research package and in every submitted results archive.</w:t>
      </w:r>
    </w:p>
    <w:p>
      <w:pPr>
        <w:pStyle w:val="Normal"/>
        <w:spacing w:before="204" w:after="0"/>
        <w:ind w:start="31"/>
        <w:jc w:val="both"/>
        <w:rPr>
          <w:rFonts w:ascii="Arial MT" w:hAnsi="Arial MT"/>
          <w:sz w:val="17"/>
        </w:rPr>
      </w:pPr>
      <w:r>
        <w:rPr>
          <w:rFonts w:ascii="Arial MT" w:hAnsi="Arial MT"/>
          <w:color w:val="151515"/>
          <w:sz w:val="17"/>
        </w:rPr>
        <w:t>Table</w:t>
      </w:r>
      <w:r>
        <w:rPr>
          <w:rFonts w:ascii="Arial MT" w:hAnsi="Arial MT"/>
          <w:color w:val="151515"/>
          <w:spacing w:val="11"/>
          <w:sz w:val="17"/>
        </w:rPr>
        <w:t xml:space="preserve"> </w:t>
      </w:r>
      <w:r>
        <w:rPr>
          <w:rFonts w:ascii="Arial MT" w:hAnsi="Arial MT"/>
          <w:color w:val="151515"/>
          <w:sz w:val="17"/>
        </w:rPr>
        <w:t>1.</w:t>
      </w:r>
      <w:r>
        <w:rPr>
          <w:rFonts w:ascii="Arial MT" w:hAnsi="Arial MT"/>
          <w:color w:val="151515"/>
          <w:spacing w:val="11"/>
          <w:sz w:val="17"/>
        </w:rPr>
        <w:t xml:space="preserve"> </w:t>
      </w:r>
      <w:r>
        <w:rPr>
          <w:rFonts w:ascii="Arial MT" w:hAnsi="Arial MT"/>
          <w:color w:val="151515"/>
          <w:sz w:val="17"/>
        </w:rPr>
        <w:t>Frozen</w:t>
      </w:r>
      <w:r>
        <w:rPr>
          <w:rFonts w:ascii="Arial MT" w:hAnsi="Arial MT"/>
          <w:color w:val="151515"/>
          <w:spacing w:val="12"/>
          <w:sz w:val="17"/>
        </w:rPr>
        <w:t xml:space="preserve"> </w:t>
      </w:r>
      <w:r>
        <w:rPr>
          <w:rFonts w:ascii="Arial MT" w:hAnsi="Arial MT"/>
          <w:color w:val="151515"/>
          <w:sz w:val="17"/>
        </w:rPr>
        <w:t>patient-grouped</w:t>
      </w:r>
      <w:r>
        <w:rPr>
          <w:rFonts w:ascii="Arial MT" w:hAnsi="Arial MT"/>
          <w:color w:val="151515"/>
          <w:spacing w:val="12"/>
          <w:sz w:val="17"/>
        </w:rPr>
        <w:t xml:space="preserve"> </w:t>
      </w:r>
      <w:r>
        <w:rPr>
          <w:rFonts w:ascii="Arial MT" w:hAnsi="Arial MT"/>
          <w:color w:val="151515"/>
          <w:sz w:val="17"/>
        </w:rPr>
        <w:t>fold</w:t>
      </w:r>
      <w:r>
        <w:rPr>
          <w:rFonts w:ascii="Arial MT" w:hAnsi="Arial MT"/>
          <w:color w:val="151515"/>
          <w:spacing w:val="11"/>
          <w:sz w:val="17"/>
        </w:rPr>
        <w:t xml:space="preserve"> </w:t>
      </w:r>
      <w:r>
        <w:rPr>
          <w:rFonts w:ascii="Arial MT" w:hAnsi="Arial MT"/>
          <w:color w:val="151515"/>
          <w:spacing w:val="-2"/>
          <w:sz w:val="17"/>
        </w:rPr>
        <w:t>sizes</w:t>
      </w:r>
    </w:p>
    <w:p>
      <w:pPr>
        <w:pStyle w:val="BodyText"/>
        <w:spacing w:before="10" w:after="0"/>
        <w:ind w:start="0"/>
        <w:jc w:val="start"/>
        <w:rPr>
          <w:rFonts w:ascii="Arial MT" w:hAnsi="Arial MT"/>
          <w:sz w:val="10"/>
        </w:rPr>
      </w:pPr>
      <w:r>
        <w:rPr>
          <w:rFonts w:ascii="Arial MT" w:hAnsi="Arial MT"/>
          <w:sz w:val="10"/>
        </w:rPr>
      </w:r>
    </w:p>
    <w:tbl>
      <w:tblPr>
        <w:tblW w:w="9666"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1076"/>
        <w:gridCol w:w="2329"/>
        <w:gridCol w:w="3227"/>
        <w:gridCol w:w="3034"/>
      </w:tblGrid>
      <w:tr>
        <w:trPr>
          <w:trHeight w:val="289" w:hRule="atLeast"/>
        </w:trPr>
        <w:tc>
          <w:tcPr>
            <w:tcW w:w="1076" w:type="dxa"/>
            <w:tcBorders/>
            <w:shd w:color="auto" w:fill="EDF0F4" w:val="clear"/>
          </w:tcPr>
          <w:p>
            <w:pPr>
              <w:pStyle w:val="TableParagraph"/>
              <w:spacing w:before="47" w:after="0"/>
              <w:rPr>
                <w:rFonts w:ascii="Arial" w:hAnsi="Arial"/>
                <w:b/>
                <w:sz w:val="16"/>
              </w:rPr>
            </w:pPr>
            <w:r>
              <w:rPr>
                <w:rFonts w:ascii="Arial" w:hAnsi="Arial"/>
                <w:b/>
                <w:color w:val="151515"/>
                <w:sz w:val="16"/>
              </w:rPr>
              <w:t>Outer</w:t>
            </w:r>
            <w:r>
              <w:rPr>
                <w:rFonts w:ascii="Arial" w:hAnsi="Arial"/>
                <w:b/>
                <w:color w:val="151515"/>
                <w:spacing w:val="6"/>
                <w:sz w:val="16"/>
              </w:rPr>
              <w:t xml:space="preserve"> </w:t>
            </w:r>
            <w:r>
              <w:rPr>
                <w:rFonts w:ascii="Arial" w:hAnsi="Arial"/>
                <w:b/>
                <w:color w:val="151515"/>
                <w:spacing w:val="-4"/>
                <w:sz w:val="16"/>
              </w:rPr>
              <w:t>fold</w:t>
            </w:r>
          </w:p>
        </w:tc>
        <w:tc>
          <w:tcPr>
            <w:tcW w:w="2329" w:type="dxa"/>
            <w:tcBorders/>
            <w:shd w:color="auto" w:fill="EDF0F4" w:val="clear"/>
          </w:tcPr>
          <w:p>
            <w:pPr>
              <w:pStyle w:val="TableParagraph"/>
              <w:spacing w:before="47" w:after="0"/>
              <w:ind w:start="236"/>
              <w:rPr>
                <w:rFonts w:ascii="Arial" w:hAnsi="Arial"/>
                <w:b/>
                <w:sz w:val="16"/>
              </w:rPr>
            </w:pPr>
            <w:r>
              <w:rPr>
                <w:rFonts w:ascii="Arial" w:hAnsi="Arial"/>
                <w:b/>
                <w:color w:val="151515"/>
                <w:sz w:val="16"/>
              </w:rPr>
              <w:t>Fit</w:t>
            </w:r>
            <w:r>
              <w:rPr>
                <w:rFonts w:ascii="Arial" w:hAnsi="Arial"/>
                <w:b/>
                <w:color w:val="151515"/>
                <w:spacing w:val="4"/>
                <w:sz w:val="16"/>
              </w:rPr>
              <w:t xml:space="preserve"> </w:t>
            </w:r>
            <w:r>
              <w:rPr>
                <w:rFonts w:ascii="Arial" w:hAnsi="Arial"/>
                <w:b/>
                <w:color w:val="151515"/>
                <w:sz w:val="16"/>
              </w:rPr>
              <w:t>patients</w:t>
            </w:r>
            <w:r>
              <w:rPr>
                <w:rFonts w:ascii="Arial" w:hAnsi="Arial"/>
                <w:b/>
                <w:color w:val="151515"/>
                <w:spacing w:val="5"/>
                <w:sz w:val="16"/>
              </w:rPr>
              <w:t xml:space="preserve"> </w:t>
            </w:r>
            <w:r>
              <w:rPr>
                <w:rFonts w:ascii="Arial" w:hAnsi="Arial"/>
                <w:b/>
                <w:color w:val="151515"/>
                <w:sz w:val="16"/>
              </w:rPr>
              <w:t>/</w:t>
            </w:r>
            <w:r>
              <w:rPr>
                <w:rFonts w:ascii="Arial" w:hAnsi="Arial"/>
                <w:b/>
                <w:color w:val="151515"/>
                <w:spacing w:val="4"/>
                <w:sz w:val="16"/>
              </w:rPr>
              <w:t xml:space="preserve"> </w:t>
            </w:r>
            <w:r>
              <w:rPr>
                <w:rFonts w:ascii="Arial" w:hAnsi="Arial"/>
                <w:b/>
                <w:color w:val="151515"/>
                <w:spacing w:val="-4"/>
                <w:sz w:val="16"/>
              </w:rPr>
              <w:t>scans</w:t>
            </w:r>
          </w:p>
        </w:tc>
        <w:tc>
          <w:tcPr>
            <w:tcW w:w="3227" w:type="dxa"/>
            <w:tcBorders/>
            <w:shd w:color="auto" w:fill="EDF0F4" w:val="clear"/>
          </w:tcPr>
          <w:p>
            <w:pPr>
              <w:pStyle w:val="TableParagraph"/>
              <w:spacing w:before="47" w:after="0"/>
              <w:ind w:start="615"/>
              <w:rPr>
                <w:rFonts w:ascii="Arial" w:hAnsi="Arial"/>
                <w:b/>
                <w:sz w:val="16"/>
              </w:rPr>
            </w:pPr>
            <w:r>
              <w:rPr>
                <w:rFonts w:ascii="Arial" w:hAnsi="Arial"/>
                <w:b/>
                <w:color w:val="151515"/>
                <w:sz w:val="16"/>
              </w:rPr>
              <w:t>Inner-tuning</w:t>
            </w:r>
            <w:r>
              <w:rPr>
                <w:rFonts w:ascii="Arial" w:hAnsi="Arial"/>
                <w:b/>
                <w:color w:val="151515"/>
                <w:spacing w:val="8"/>
                <w:sz w:val="16"/>
              </w:rPr>
              <w:t xml:space="preserve"> </w:t>
            </w:r>
            <w:r>
              <w:rPr>
                <w:rFonts w:ascii="Arial" w:hAnsi="Arial"/>
                <w:b/>
                <w:color w:val="151515"/>
                <w:sz w:val="16"/>
              </w:rPr>
              <w:t>patients</w:t>
            </w:r>
            <w:r>
              <w:rPr>
                <w:rFonts w:ascii="Arial" w:hAnsi="Arial"/>
                <w:b/>
                <w:color w:val="151515"/>
                <w:spacing w:val="7"/>
                <w:sz w:val="16"/>
              </w:rPr>
              <w:t xml:space="preserve"> </w:t>
            </w:r>
            <w:r>
              <w:rPr>
                <w:rFonts w:ascii="Arial" w:hAnsi="Arial"/>
                <w:b/>
                <w:color w:val="151515"/>
                <w:sz w:val="16"/>
              </w:rPr>
              <w:t>/</w:t>
            </w:r>
            <w:r>
              <w:rPr>
                <w:rFonts w:ascii="Arial" w:hAnsi="Arial"/>
                <w:b/>
                <w:color w:val="151515"/>
                <w:spacing w:val="7"/>
                <w:sz w:val="16"/>
              </w:rPr>
              <w:t xml:space="preserve"> </w:t>
            </w:r>
            <w:r>
              <w:rPr>
                <w:rFonts w:ascii="Arial" w:hAnsi="Arial"/>
                <w:b/>
                <w:color w:val="151515"/>
                <w:spacing w:val="-2"/>
                <w:sz w:val="16"/>
              </w:rPr>
              <w:t>scans</w:t>
            </w:r>
          </w:p>
        </w:tc>
        <w:tc>
          <w:tcPr>
            <w:tcW w:w="3034" w:type="dxa"/>
            <w:tcBorders/>
            <w:shd w:color="auto" w:fill="EDF0F4" w:val="clear"/>
          </w:tcPr>
          <w:p>
            <w:pPr>
              <w:pStyle w:val="TableParagraph"/>
              <w:spacing w:before="47" w:after="0"/>
              <w:ind w:start="384"/>
              <w:rPr>
                <w:rFonts w:ascii="Arial" w:hAnsi="Arial"/>
                <w:b/>
                <w:sz w:val="16"/>
              </w:rPr>
            </w:pPr>
            <w:r>
              <w:rPr>
                <w:rFonts w:ascii="Arial" w:hAnsi="Arial"/>
                <w:b/>
                <w:color w:val="151515"/>
                <w:sz w:val="16"/>
              </w:rPr>
              <w:t>Outer-test</w:t>
            </w:r>
            <w:r>
              <w:rPr>
                <w:rFonts w:ascii="Arial" w:hAnsi="Arial"/>
                <w:b/>
                <w:color w:val="151515"/>
                <w:spacing w:val="6"/>
                <w:sz w:val="16"/>
              </w:rPr>
              <w:t xml:space="preserve"> </w:t>
            </w:r>
            <w:r>
              <w:rPr>
                <w:rFonts w:ascii="Arial" w:hAnsi="Arial"/>
                <w:b/>
                <w:color w:val="151515"/>
                <w:sz w:val="16"/>
              </w:rPr>
              <w:t>patients</w:t>
            </w:r>
            <w:r>
              <w:rPr>
                <w:rFonts w:ascii="Arial" w:hAnsi="Arial"/>
                <w:b/>
                <w:color w:val="151515"/>
                <w:spacing w:val="8"/>
                <w:sz w:val="16"/>
              </w:rPr>
              <w:t xml:space="preserve"> </w:t>
            </w:r>
            <w:r>
              <w:rPr>
                <w:rFonts w:ascii="Arial" w:hAnsi="Arial"/>
                <w:b/>
                <w:color w:val="151515"/>
                <w:sz w:val="16"/>
              </w:rPr>
              <w:t>/</w:t>
            </w:r>
            <w:r>
              <w:rPr>
                <w:rFonts w:ascii="Arial" w:hAnsi="Arial"/>
                <w:b/>
                <w:color w:val="151515"/>
                <w:spacing w:val="6"/>
                <w:sz w:val="16"/>
              </w:rPr>
              <w:t xml:space="preserve"> </w:t>
            </w:r>
            <w:r>
              <w:rPr>
                <w:rFonts w:ascii="Arial" w:hAnsi="Arial"/>
                <w:b/>
                <w:color w:val="151515"/>
                <w:spacing w:val="-4"/>
                <w:sz w:val="16"/>
              </w:rPr>
              <w:t>scans</w:t>
            </w:r>
          </w:p>
        </w:tc>
      </w:tr>
      <w:tr>
        <w:trPr>
          <w:trHeight w:val="284" w:hRule="atLeast"/>
        </w:trPr>
        <w:tc>
          <w:tcPr>
            <w:tcW w:w="1076" w:type="dxa"/>
            <w:tcBorders/>
          </w:tcPr>
          <w:p>
            <w:pPr>
              <w:pStyle w:val="TableParagraph"/>
              <w:spacing w:before="47" w:after="0"/>
              <w:rPr>
                <w:sz w:val="16"/>
              </w:rPr>
            </w:pPr>
            <w:r>
              <w:rPr>
                <w:color w:val="151515"/>
                <w:spacing w:val="-10"/>
                <w:sz w:val="16"/>
              </w:rPr>
              <w:t>1</w:t>
            </w:r>
          </w:p>
        </w:tc>
        <w:tc>
          <w:tcPr>
            <w:tcW w:w="2329" w:type="dxa"/>
            <w:tcBorders/>
          </w:tcPr>
          <w:p>
            <w:pPr>
              <w:pStyle w:val="TableParagraph"/>
              <w:spacing w:before="47" w:after="0"/>
              <w:ind w:start="236"/>
              <w:rPr>
                <w:sz w:val="16"/>
              </w:rPr>
            </w:pPr>
            <w:r>
              <w:rPr>
                <w:color w:val="151515"/>
                <w:sz w:val="16"/>
              </w:rPr>
              <w:t>130</w:t>
            </w:r>
            <w:r>
              <w:rPr>
                <w:color w:val="151515"/>
                <w:spacing w:val="3"/>
                <w:sz w:val="16"/>
              </w:rPr>
              <w:t xml:space="preserve"> </w:t>
            </w:r>
            <w:r>
              <w:rPr>
                <w:color w:val="151515"/>
                <w:sz w:val="16"/>
              </w:rPr>
              <w:t>/</w:t>
            </w:r>
            <w:r>
              <w:rPr>
                <w:color w:val="151515"/>
                <w:spacing w:val="2"/>
                <w:sz w:val="16"/>
              </w:rPr>
              <w:t xml:space="preserve"> </w:t>
            </w:r>
            <w:r>
              <w:rPr>
                <w:color w:val="151515"/>
                <w:spacing w:val="-5"/>
                <w:sz w:val="16"/>
              </w:rPr>
              <w:t>381</w:t>
            </w:r>
          </w:p>
        </w:tc>
        <w:tc>
          <w:tcPr>
            <w:tcW w:w="3227" w:type="dxa"/>
            <w:tcBorders/>
          </w:tcPr>
          <w:p>
            <w:pPr>
              <w:pStyle w:val="TableParagraph"/>
              <w:spacing w:before="47" w:after="0"/>
              <w:ind w:start="615"/>
              <w:rPr>
                <w:sz w:val="16"/>
              </w:rPr>
            </w:pPr>
            <w:r>
              <w:rPr>
                <w:color w:val="151515"/>
                <w:sz w:val="16"/>
              </w:rPr>
              <w:t>32</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94</w:t>
            </w:r>
          </w:p>
        </w:tc>
        <w:tc>
          <w:tcPr>
            <w:tcW w:w="3034" w:type="dxa"/>
            <w:tcBorders/>
          </w:tcPr>
          <w:p>
            <w:pPr>
              <w:pStyle w:val="TableParagraph"/>
              <w:spacing w:before="47" w:after="0"/>
              <w:ind w:start="384"/>
              <w:rPr>
                <w:sz w:val="16"/>
              </w:rPr>
            </w:pPr>
            <w:r>
              <w:rPr>
                <w:color w:val="151515"/>
                <w:sz w:val="16"/>
              </w:rPr>
              <w:t>41</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119</w:t>
            </w:r>
          </w:p>
        </w:tc>
      </w:tr>
      <w:tr>
        <w:trPr>
          <w:trHeight w:val="289" w:hRule="atLeast"/>
        </w:trPr>
        <w:tc>
          <w:tcPr>
            <w:tcW w:w="1076" w:type="dxa"/>
            <w:tcBorders/>
          </w:tcPr>
          <w:p>
            <w:pPr>
              <w:pStyle w:val="TableParagraph"/>
              <w:spacing w:before="51" w:after="0"/>
              <w:rPr>
                <w:sz w:val="16"/>
              </w:rPr>
            </w:pPr>
            <w:r>
              <w:rPr>
                <w:color w:val="151515"/>
                <w:spacing w:val="-10"/>
                <w:sz w:val="16"/>
              </w:rPr>
              <w:t>2</w:t>
            </w:r>
          </w:p>
        </w:tc>
        <w:tc>
          <w:tcPr>
            <w:tcW w:w="2329" w:type="dxa"/>
            <w:tcBorders/>
          </w:tcPr>
          <w:p>
            <w:pPr>
              <w:pStyle w:val="TableParagraph"/>
              <w:spacing w:before="51" w:after="0"/>
              <w:ind w:start="236"/>
              <w:rPr>
                <w:sz w:val="16"/>
              </w:rPr>
            </w:pPr>
            <w:r>
              <w:rPr>
                <w:color w:val="151515"/>
                <w:sz w:val="16"/>
              </w:rPr>
              <w:t>130</w:t>
            </w:r>
            <w:r>
              <w:rPr>
                <w:color w:val="151515"/>
                <w:spacing w:val="3"/>
                <w:sz w:val="16"/>
              </w:rPr>
              <w:t xml:space="preserve"> </w:t>
            </w:r>
            <w:r>
              <w:rPr>
                <w:color w:val="151515"/>
                <w:sz w:val="16"/>
              </w:rPr>
              <w:t>/</w:t>
            </w:r>
            <w:r>
              <w:rPr>
                <w:color w:val="151515"/>
                <w:spacing w:val="2"/>
                <w:sz w:val="16"/>
              </w:rPr>
              <w:t xml:space="preserve"> </w:t>
            </w:r>
            <w:r>
              <w:rPr>
                <w:color w:val="151515"/>
                <w:spacing w:val="-5"/>
                <w:sz w:val="16"/>
              </w:rPr>
              <w:t>381</w:t>
            </w:r>
          </w:p>
        </w:tc>
        <w:tc>
          <w:tcPr>
            <w:tcW w:w="3227" w:type="dxa"/>
            <w:tcBorders/>
          </w:tcPr>
          <w:p>
            <w:pPr>
              <w:pStyle w:val="TableParagraph"/>
              <w:spacing w:before="51" w:after="0"/>
              <w:ind w:start="615"/>
              <w:rPr>
                <w:sz w:val="16"/>
              </w:rPr>
            </w:pPr>
            <w:r>
              <w:rPr>
                <w:color w:val="151515"/>
                <w:sz w:val="16"/>
              </w:rPr>
              <w:t>32</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94</w:t>
            </w:r>
          </w:p>
        </w:tc>
        <w:tc>
          <w:tcPr>
            <w:tcW w:w="3034" w:type="dxa"/>
            <w:tcBorders/>
          </w:tcPr>
          <w:p>
            <w:pPr>
              <w:pStyle w:val="TableParagraph"/>
              <w:spacing w:before="51" w:after="0"/>
              <w:ind w:start="384"/>
              <w:rPr>
                <w:sz w:val="16"/>
              </w:rPr>
            </w:pPr>
            <w:r>
              <w:rPr>
                <w:color w:val="151515"/>
                <w:sz w:val="16"/>
              </w:rPr>
              <w:t>41</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119</w:t>
            </w:r>
          </w:p>
        </w:tc>
      </w:tr>
      <w:tr>
        <w:trPr>
          <w:trHeight w:val="288" w:hRule="atLeast"/>
        </w:trPr>
        <w:tc>
          <w:tcPr>
            <w:tcW w:w="1076" w:type="dxa"/>
            <w:tcBorders/>
          </w:tcPr>
          <w:p>
            <w:pPr>
              <w:pStyle w:val="TableParagraph"/>
              <w:spacing w:before="51" w:after="0"/>
              <w:rPr>
                <w:sz w:val="16"/>
              </w:rPr>
            </w:pPr>
            <w:r>
              <w:rPr>
                <w:color w:val="151515"/>
                <w:spacing w:val="-10"/>
                <w:sz w:val="16"/>
              </w:rPr>
              <w:t>3</w:t>
            </w:r>
          </w:p>
        </w:tc>
        <w:tc>
          <w:tcPr>
            <w:tcW w:w="2329" w:type="dxa"/>
            <w:tcBorders/>
          </w:tcPr>
          <w:p>
            <w:pPr>
              <w:pStyle w:val="TableParagraph"/>
              <w:spacing w:before="51" w:after="0"/>
              <w:ind w:start="236"/>
              <w:rPr>
                <w:sz w:val="16"/>
              </w:rPr>
            </w:pPr>
            <w:r>
              <w:rPr>
                <w:color w:val="151515"/>
                <w:sz w:val="16"/>
              </w:rPr>
              <w:t>130</w:t>
            </w:r>
            <w:r>
              <w:rPr>
                <w:color w:val="151515"/>
                <w:spacing w:val="3"/>
                <w:sz w:val="16"/>
              </w:rPr>
              <w:t xml:space="preserve"> </w:t>
            </w:r>
            <w:r>
              <w:rPr>
                <w:color w:val="151515"/>
                <w:sz w:val="16"/>
              </w:rPr>
              <w:t>/</w:t>
            </w:r>
            <w:r>
              <w:rPr>
                <w:color w:val="151515"/>
                <w:spacing w:val="2"/>
                <w:sz w:val="16"/>
              </w:rPr>
              <w:t xml:space="preserve"> </w:t>
            </w:r>
            <w:r>
              <w:rPr>
                <w:color w:val="151515"/>
                <w:spacing w:val="-5"/>
                <w:sz w:val="16"/>
              </w:rPr>
              <w:t>381</w:t>
            </w:r>
          </w:p>
        </w:tc>
        <w:tc>
          <w:tcPr>
            <w:tcW w:w="3227" w:type="dxa"/>
            <w:tcBorders/>
          </w:tcPr>
          <w:p>
            <w:pPr>
              <w:pStyle w:val="TableParagraph"/>
              <w:spacing w:before="51" w:after="0"/>
              <w:ind w:start="615"/>
              <w:rPr>
                <w:sz w:val="16"/>
              </w:rPr>
            </w:pPr>
            <w:r>
              <w:rPr>
                <w:color w:val="151515"/>
                <w:sz w:val="16"/>
              </w:rPr>
              <w:t>32</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94</w:t>
            </w:r>
          </w:p>
        </w:tc>
        <w:tc>
          <w:tcPr>
            <w:tcW w:w="3034" w:type="dxa"/>
            <w:tcBorders/>
          </w:tcPr>
          <w:p>
            <w:pPr>
              <w:pStyle w:val="TableParagraph"/>
              <w:spacing w:before="51" w:after="0"/>
              <w:ind w:start="384"/>
              <w:rPr>
                <w:sz w:val="16"/>
              </w:rPr>
            </w:pPr>
            <w:r>
              <w:rPr>
                <w:color w:val="151515"/>
                <w:sz w:val="16"/>
              </w:rPr>
              <w:t>41</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119</w:t>
            </w:r>
          </w:p>
        </w:tc>
      </w:tr>
      <w:tr>
        <w:trPr>
          <w:trHeight w:val="288" w:hRule="atLeast"/>
        </w:trPr>
        <w:tc>
          <w:tcPr>
            <w:tcW w:w="1076" w:type="dxa"/>
            <w:tcBorders/>
          </w:tcPr>
          <w:p>
            <w:pPr>
              <w:pStyle w:val="TableParagraph"/>
              <w:spacing w:before="51" w:after="0"/>
              <w:rPr>
                <w:sz w:val="16"/>
              </w:rPr>
            </w:pPr>
            <w:r>
              <w:rPr>
                <w:color w:val="151515"/>
                <w:spacing w:val="-10"/>
                <w:sz w:val="16"/>
              </w:rPr>
              <w:t>4</w:t>
            </w:r>
          </w:p>
        </w:tc>
        <w:tc>
          <w:tcPr>
            <w:tcW w:w="2329" w:type="dxa"/>
            <w:tcBorders/>
          </w:tcPr>
          <w:p>
            <w:pPr>
              <w:pStyle w:val="TableParagraph"/>
              <w:spacing w:before="51" w:after="0"/>
              <w:ind w:start="236"/>
              <w:rPr>
                <w:sz w:val="16"/>
              </w:rPr>
            </w:pPr>
            <w:r>
              <w:rPr>
                <w:color w:val="151515"/>
                <w:sz w:val="16"/>
              </w:rPr>
              <w:t>130</w:t>
            </w:r>
            <w:r>
              <w:rPr>
                <w:color w:val="151515"/>
                <w:spacing w:val="3"/>
                <w:sz w:val="16"/>
              </w:rPr>
              <w:t xml:space="preserve"> </w:t>
            </w:r>
            <w:r>
              <w:rPr>
                <w:color w:val="151515"/>
                <w:sz w:val="16"/>
              </w:rPr>
              <w:t>/</w:t>
            </w:r>
            <w:r>
              <w:rPr>
                <w:color w:val="151515"/>
                <w:spacing w:val="2"/>
                <w:sz w:val="16"/>
              </w:rPr>
              <w:t xml:space="preserve"> </w:t>
            </w:r>
            <w:r>
              <w:rPr>
                <w:color w:val="151515"/>
                <w:spacing w:val="-5"/>
                <w:sz w:val="16"/>
              </w:rPr>
              <w:t>379</w:t>
            </w:r>
          </w:p>
        </w:tc>
        <w:tc>
          <w:tcPr>
            <w:tcW w:w="3227" w:type="dxa"/>
            <w:tcBorders/>
          </w:tcPr>
          <w:p>
            <w:pPr>
              <w:pStyle w:val="TableParagraph"/>
              <w:spacing w:before="51" w:after="0"/>
              <w:ind w:start="615"/>
              <w:rPr>
                <w:sz w:val="16"/>
              </w:rPr>
            </w:pPr>
            <w:r>
              <w:rPr>
                <w:color w:val="151515"/>
                <w:sz w:val="16"/>
              </w:rPr>
              <w:t>33</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96</w:t>
            </w:r>
          </w:p>
        </w:tc>
        <w:tc>
          <w:tcPr>
            <w:tcW w:w="3034" w:type="dxa"/>
            <w:tcBorders/>
          </w:tcPr>
          <w:p>
            <w:pPr>
              <w:pStyle w:val="TableParagraph"/>
              <w:spacing w:before="51" w:after="0"/>
              <w:ind w:start="384"/>
              <w:rPr>
                <w:sz w:val="16"/>
              </w:rPr>
            </w:pPr>
            <w:r>
              <w:rPr>
                <w:color w:val="151515"/>
                <w:sz w:val="16"/>
              </w:rPr>
              <w:t>40</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119</w:t>
            </w:r>
          </w:p>
        </w:tc>
      </w:tr>
      <w:tr>
        <w:trPr>
          <w:trHeight w:val="236" w:hRule="atLeast"/>
        </w:trPr>
        <w:tc>
          <w:tcPr>
            <w:tcW w:w="1076" w:type="dxa"/>
            <w:tcBorders/>
          </w:tcPr>
          <w:p>
            <w:pPr>
              <w:pStyle w:val="TableParagraph"/>
              <w:spacing w:lineRule="exact" w:line="165" w:before="51" w:after="0"/>
              <w:rPr>
                <w:sz w:val="16"/>
              </w:rPr>
            </w:pPr>
            <w:r>
              <w:rPr>
                <w:color w:val="151515"/>
                <w:spacing w:val="-10"/>
                <w:sz w:val="16"/>
              </w:rPr>
              <w:t>5</w:t>
            </w:r>
          </w:p>
        </w:tc>
        <w:tc>
          <w:tcPr>
            <w:tcW w:w="2329" w:type="dxa"/>
            <w:tcBorders/>
          </w:tcPr>
          <w:p>
            <w:pPr>
              <w:pStyle w:val="TableParagraph"/>
              <w:spacing w:lineRule="exact" w:line="165" w:before="51" w:after="0"/>
              <w:ind w:start="236"/>
              <w:rPr>
                <w:sz w:val="16"/>
              </w:rPr>
            </w:pPr>
            <w:r>
              <w:rPr>
                <w:color w:val="151515"/>
                <w:sz w:val="16"/>
              </w:rPr>
              <w:t>130</w:t>
            </w:r>
            <w:r>
              <w:rPr>
                <w:color w:val="151515"/>
                <w:spacing w:val="3"/>
                <w:sz w:val="16"/>
              </w:rPr>
              <w:t xml:space="preserve"> </w:t>
            </w:r>
            <w:r>
              <w:rPr>
                <w:color w:val="151515"/>
                <w:sz w:val="16"/>
              </w:rPr>
              <w:t>/</w:t>
            </w:r>
            <w:r>
              <w:rPr>
                <w:color w:val="151515"/>
                <w:spacing w:val="2"/>
                <w:sz w:val="16"/>
              </w:rPr>
              <w:t xml:space="preserve"> </w:t>
            </w:r>
            <w:r>
              <w:rPr>
                <w:color w:val="151515"/>
                <w:spacing w:val="-5"/>
                <w:sz w:val="16"/>
              </w:rPr>
              <w:t>380</w:t>
            </w:r>
          </w:p>
        </w:tc>
        <w:tc>
          <w:tcPr>
            <w:tcW w:w="3227" w:type="dxa"/>
            <w:tcBorders/>
          </w:tcPr>
          <w:p>
            <w:pPr>
              <w:pStyle w:val="TableParagraph"/>
              <w:spacing w:lineRule="exact" w:line="165" w:before="51" w:after="0"/>
              <w:ind w:start="615"/>
              <w:rPr>
                <w:sz w:val="16"/>
              </w:rPr>
            </w:pPr>
            <w:r>
              <w:rPr>
                <w:color w:val="151515"/>
                <w:sz w:val="16"/>
              </w:rPr>
              <w:t>33</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96</w:t>
            </w:r>
          </w:p>
        </w:tc>
        <w:tc>
          <w:tcPr>
            <w:tcW w:w="3034" w:type="dxa"/>
            <w:tcBorders/>
          </w:tcPr>
          <w:p>
            <w:pPr>
              <w:pStyle w:val="TableParagraph"/>
              <w:spacing w:lineRule="exact" w:line="165" w:before="51" w:after="0"/>
              <w:ind w:start="384"/>
              <w:rPr>
                <w:sz w:val="16"/>
              </w:rPr>
            </w:pPr>
            <w:r>
              <w:rPr>
                <w:color w:val="151515"/>
                <w:sz w:val="16"/>
              </w:rPr>
              <w:t>40</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118</w:t>
            </w:r>
          </w:p>
        </w:tc>
      </w:tr>
    </w:tbl>
    <w:p>
      <w:pPr>
        <w:pStyle w:val="BodyText"/>
        <w:spacing w:before="0" w:after="0"/>
        <w:ind w:start="0"/>
        <w:jc w:val="start"/>
        <w:rPr>
          <w:rFonts w:ascii="Arial MT" w:hAnsi="Arial MT"/>
          <w:sz w:val="16"/>
        </w:rPr>
      </w:pPr>
      <w:r>
        <w:rPr>
          <w:rFonts w:ascii="Arial MT" w:hAnsi="Arial MT"/>
          <w:sz w:val="16"/>
        </w:rPr>
        <w:drawing>
          <ns2:anchor distT="0" distB="0" distL="0" distR="0" simplePos="0" relativeHeight="76" behindDoc="0" locked="0" layoutInCell="0" allowOverlap="1">
            <ns2:simplePos x="0" y="0"/>
            <ns2:positionH relativeFrom="page">
              <ns2:posOffset>1006475</ns2:posOffset>
            </ns2:positionH>
            <ns2:positionV relativeFrom="paragraph">
              <ns2:posOffset>132715</ns2:posOffset>
            </ns2:positionV>
            <ns2:extent cx="5585460" cy="3371215"/>
            <ns2:effectExtent l="0" t="0" r="0" b="0"/>
            <ns2:wrapTopAndBottom/>
            <ns2:docPr id="1" name="Image 3" descr="Nested patient-grouped evaluation design"/>
            <ns2:cNvGraphicFramePr>
              <ns3:graphicFrameLocks noChangeAspect="1"/>
            </ns2:cNvGraphicFramePr>
            <ns3:graphic>
              <ns3:graphicData uri="http://schemas.openxmlformats.org/drawingml/2006/picture">
                <ns4:pic>
                  <ns4:nvPicPr>
                    <ns4:cNvPr id="1" name="Image 3" descr="Nested patient-grouped evaluation design"/>
                    <ns4:cNvPicPr>
                      <ns3:picLocks noChangeAspect="1" noChangeArrowheads="1"/>
                    </ns4:cNvPicPr>
                  </ns4:nvPicPr>
                  <ns4:blipFill>
                    <ns3:blip ns5:embed="rId2"/>
                    <ns3:stretch>
                      <ns3:fillRect/>
                    </ns3:stretch>
                  </ns4:blipFill>
                  <ns4:spPr bwMode="auto">
                    <ns3:xfrm>
                      <ns3:off x="0" y="0"/>
                      <ns3:ext cx="5585460" cy="3371215"/>
                    </ns3:xfrm>
                    <ns3:prstGeom prst="rect">
                      <ns3:avLst/>
                    </ns3:prstGeom>
                    <ns3:noFill/>
                  </ns4:spPr>
                </ns4:pic>
              </ns3:graphicData>
            </ns3:graphic>
          </ns2:anchor>
        </w:drawing>
      </w:r>
    </w:p>
    <w:p>
      <w:pPr>
        <w:pStyle w:val="BodyText"/>
        <w:spacing w:before="100" w:after="0"/>
        <w:ind w:start="0"/>
        <w:jc w:val="start"/>
        <w:rPr>
          <w:rFonts w:ascii="Arial MT" w:hAnsi="Arial MT"/>
          <w:sz w:val="17"/>
        </w:rPr>
      </w:pPr>
      <w:r>
        <w:rPr>
          <w:rFonts w:ascii="Arial MT" w:hAnsi="Arial MT"/>
          <w:sz w:val="17"/>
        </w:rPr>
      </w:r>
    </w:p>
    <w:p>
      <w:pPr>
        <w:pStyle w:val="Normal"/>
        <w:spacing w:lineRule="auto" w:line="286"/>
        <w:ind w:start="31" w:end="6"/>
        <w:rPr>
          <w:rFonts w:ascii="Arial MT" w:hAnsi="Arial MT"/>
          <w:color w:val="151515"/>
          <w:w w:val="105"/>
          <w:sz w:val="17"/>
        </w:rPr>
      </w:pPr>
      <w:r>
        <w:rPr>
          <w:rFonts w:ascii="Arial MT" w:hAnsi="Arial MT"/>
          <w:color w:val="151515"/>
          <w:w w:val="105"/>
          <w:sz w:val="17"/>
        </w:rPr>
        <w:t>Figure 1. Nested design with patient-level grouping. All longitudinal scans for a single patient at different time points remained within the same sample. A model checkpoint was selected during the internal tuning phase, while the outer fold was used once for the internal testing of the full volumes.</w:t>
      </w:r>
    </w:p>
    <w:p>
      <w:pPr>
        <w:pStyle w:val="Normal"/>
        <w:spacing w:lineRule="auto" w:line="286"/>
        <w:ind w:start="31" w:end="6"/>
        <w:rPr>
          <w:rFonts w:ascii="Arial MT" w:hAnsi="Arial MT"/>
          <w:color w:val="151515"/>
          <w:w w:val="105"/>
          <w:sz w:val="17"/>
        </w:rPr>
      </w:pPr>
      <w:r>
        <w:rPr>
          <w:rFonts w:ascii="Arial MT" w:hAnsi="Arial MT"/>
          <w:color w:val="151515"/>
          <w:w w:val="105"/>
          <w:sz w:val="17"/>
        </w:rPr>
      </w:r>
    </w:p>
    <w:p>
      <w:pPr>
        <w:pStyle w:val="ListParagraph"/>
        <w:numPr>
          <w:ilvl w:val="1"/>
          <w:numId w:val="3"/>
        </w:numPr>
        <w:outlineLvl w:val="1"/>
        <w:rPr>
          <w:b/>
        </w:rPr>
      </w:pPr>
      <w:bookmarkStart w:id="6" w:name="2.4_Prespecified_run_matrix"/>
      <w:bookmarkEnd w:id="6"/>
      <w:r>
        <w:rPr>
          <w:b/>
        </w:rPr>
        <w:t>Prespecified run matrix</w:t>
      </w:r>
    </w:p>
    <w:p>
      <w:pPr>
        <w:pStyle w:val="BodyText"/>
        <w:spacing w:lineRule="auto" w:line="302" w:before="99" w:after="0"/>
        <w:ind w:start="31" w:end="99"/>
        <w:rPr>
          <w:color w:val="151515"/>
        </w:rPr>
      </w:pPr>
      <w:r>
        <w:rPr>
          <w:color w:val="151515"/>
        </w:rPr>
        <w:t>The primary experimental matrix comprised 25 runs: five architectures and five outer folds, all using a random state seed of 2026. An additional ten runs consisted of repetitions of fold 1 using seeds 2027 and 2028 for each architecture; these repetitions allowed for an assessment of sensitivity to the optimization process but did not increase the independent sample size and were never combined with the primary matrix.</w:t>
      </w:r>
    </w:p>
    <w:p>
      <w:pPr>
        <w:pStyle w:val="BodyText"/>
        <w:spacing w:lineRule="auto" w:line="302" w:before="99" w:after="0"/>
        <w:ind w:start="31" w:end="99"/>
        <w:rPr>
          <w:color w:val="151515"/>
        </w:rPr>
      </w:pPr>
      <w:r>
        <w:rPr>
          <w:color w:val="151515"/>
        </w:rPr>
        <w:t>A single fixed, specifically tuned configuration was used for each architecture. No performance-based hyperparameter search was conducted, and no metrics calculated on the outer test set were used to select the configuration. Parameter counts and training termination rules are presented in Table 2.</w:t>
      </w:r>
    </w:p>
    <w:p>
      <w:pPr>
        <w:pStyle w:val="BodyText"/>
        <w:spacing w:lineRule="auto" w:line="302" w:before="99" w:after="0"/>
        <w:ind w:start="31" w:end="99"/>
        <w:rPr>
          <w:color w:val="151515"/>
        </w:rPr>
      </w:pPr>
      <w:r>
        <w:rPr>
          <w:color w:val="151515"/>
        </w:rPr>
        <w:t>Table 2. Model families and fixed training rules</w:t>
      </w:r>
    </w:p>
    <w:p>
      <w:pPr>
        <w:pStyle w:val="BodyText"/>
        <w:spacing w:before="0" w:after="0"/>
        <w:ind w:start="0"/>
        <w:jc w:val="start"/>
        <w:rPr>
          <w:rFonts w:ascii="Arial MT" w:hAnsi="Arial MT"/>
          <w:sz w:val="11"/>
        </w:rPr>
      </w:pPr>
      <w:r>
        <w:rPr>
          <w:rFonts w:ascii="Arial MT" w:hAnsi="Arial MT"/>
          <w:sz w:val="11"/>
        </w:rPr>
      </w:r>
    </w:p>
    <w:tbl>
      <w:tblPr>
        <w:tblW w:w="9674"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1858"/>
        <w:gridCol w:w="1444"/>
        <w:gridCol w:w="1663"/>
        <w:gridCol w:w="882"/>
        <w:gridCol w:w="1169"/>
        <w:gridCol w:w="2658"/>
      </w:tblGrid>
      <w:tr>
        <w:trPr>
          <w:trHeight w:val="443" w:hRule="atLeast"/>
        </w:trPr>
        <w:tc>
          <w:tcPr>
            <w:tcW w:w="1858" w:type="dxa"/>
            <w:tcBorders/>
            <w:shd w:color="auto" w:fill="EDF0F4" w:val="clear"/>
          </w:tcPr>
          <w:p>
            <w:pPr>
              <w:pStyle w:val="TableParagraph"/>
              <w:spacing w:before="134" w:after="0"/>
              <w:rPr>
                <w:rFonts w:ascii="Arial" w:hAnsi="Arial"/>
                <w:b/>
                <w:sz w:val="14"/>
              </w:rPr>
            </w:pPr>
            <w:r>
              <w:rPr>
                <w:rFonts w:ascii="Arial" w:hAnsi="Arial"/>
                <w:b/>
                <w:color w:val="151515"/>
                <w:spacing w:val="-2"/>
                <w:sz w:val="14"/>
              </w:rPr>
              <w:t>Model</w:t>
            </w:r>
          </w:p>
        </w:tc>
        <w:tc>
          <w:tcPr>
            <w:tcW w:w="1444" w:type="dxa"/>
            <w:tcBorders/>
            <w:shd w:color="auto" w:fill="EDF0F4" w:val="clear"/>
          </w:tcPr>
          <w:p>
            <w:pPr>
              <w:pStyle w:val="TableParagraph"/>
              <w:spacing w:before="134" w:after="0"/>
              <w:ind w:start="185"/>
              <w:jc w:val="center"/>
              <w:rPr>
                <w:rFonts w:ascii="Arial" w:hAnsi="Arial"/>
                <w:b/>
                <w:sz w:val="14"/>
              </w:rPr>
            </w:pPr>
            <w:r>
              <w:rPr>
                <w:rFonts w:ascii="Arial" w:hAnsi="Arial"/>
                <w:b/>
                <w:color w:val="151515"/>
                <w:spacing w:val="-2"/>
                <w:sz w:val="14"/>
              </w:rPr>
              <w:t>Parameters</w:t>
            </w:r>
          </w:p>
        </w:tc>
        <w:tc>
          <w:tcPr>
            <w:tcW w:w="1663" w:type="dxa"/>
            <w:tcBorders/>
            <w:shd w:color="auto" w:fill="EDF0F4" w:val="clear"/>
          </w:tcPr>
          <w:p>
            <w:pPr>
              <w:pStyle w:val="TableParagraph"/>
              <w:spacing w:before="134" w:after="0"/>
              <w:ind w:start="236"/>
              <w:rPr>
                <w:rFonts w:ascii="Arial" w:hAnsi="Arial"/>
                <w:b/>
                <w:sz w:val="14"/>
              </w:rPr>
            </w:pPr>
            <w:r>
              <w:rPr>
                <w:rFonts w:ascii="Arial" w:hAnsi="Arial"/>
                <w:b/>
                <w:color w:val="151515"/>
                <w:spacing w:val="-2"/>
                <w:sz w:val="14"/>
              </w:rPr>
              <w:t>Framework</w:t>
            </w:r>
          </w:p>
        </w:tc>
        <w:tc>
          <w:tcPr>
            <w:tcW w:w="882" w:type="dxa"/>
            <w:tcBorders/>
            <w:shd w:color="auto" w:fill="EDF0F4" w:val="clear"/>
          </w:tcPr>
          <w:p>
            <w:pPr>
              <w:pStyle w:val="TableParagraph"/>
              <w:spacing w:before="134" w:after="0"/>
              <w:ind w:start="102"/>
              <w:jc w:val="center"/>
              <w:rPr>
                <w:rFonts w:ascii="Arial" w:hAnsi="Arial"/>
                <w:b/>
                <w:sz w:val="14"/>
              </w:rPr>
            </w:pPr>
            <w:r>
              <w:rPr>
                <w:rFonts w:ascii="Arial" w:hAnsi="Arial"/>
                <w:b/>
                <w:color w:val="151515"/>
                <w:spacing w:val="-4"/>
                <w:sz w:val="14"/>
              </w:rPr>
              <w:t>Runs</w:t>
            </w:r>
          </w:p>
        </w:tc>
        <w:tc>
          <w:tcPr>
            <w:tcW w:w="1169" w:type="dxa"/>
            <w:tcBorders/>
            <w:shd w:color="auto" w:fill="EDF0F4" w:val="clear"/>
          </w:tcPr>
          <w:p>
            <w:pPr>
              <w:pStyle w:val="TableParagraph"/>
              <w:spacing w:lineRule="auto" w:line="266" w:before="45" w:after="0"/>
              <w:ind w:start="203"/>
              <w:rPr>
                <w:rFonts w:ascii="Arial" w:hAnsi="Arial"/>
                <w:b/>
                <w:sz w:val="14"/>
              </w:rPr>
            </w:pPr>
            <w:r>
              <w:rPr>
                <w:rFonts w:ascii="Arial" w:hAnsi="Arial"/>
                <w:b/>
                <w:color w:val="151515"/>
                <w:spacing w:val="-2"/>
                <w:sz w:val="14"/>
              </w:rPr>
              <w:t>Maximum</w:t>
            </w:r>
            <w:r>
              <w:rPr>
                <w:rFonts w:ascii="Arial" w:hAnsi="Arial"/>
                <w:b/>
                <w:color w:val="151515"/>
                <w:spacing w:val="40"/>
                <w:sz w:val="14"/>
              </w:rPr>
              <w:t xml:space="preserve"> </w:t>
            </w:r>
            <w:r>
              <w:rPr>
                <w:rFonts w:ascii="Arial" w:hAnsi="Arial"/>
                <w:b/>
                <w:color w:val="151515"/>
                <w:spacing w:val="-2"/>
                <w:sz w:val="14"/>
              </w:rPr>
              <w:t>epochs</w:t>
            </w:r>
          </w:p>
        </w:tc>
        <w:tc>
          <w:tcPr>
            <w:tcW w:w="2658" w:type="dxa"/>
            <w:tcBorders/>
            <w:shd w:color="auto" w:fill="EDF0F4" w:val="clear"/>
          </w:tcPr>
          <w:p>
            <w:pPr>
              <w:pStyle w:val="TableParagraph"/>
              <w:spacing w:lineRule="auto" w:line="266" w:before="45" w:after="0"/>
              <w:ind w:start="292" w:end="182"/>
              <w:rPr>
                <w:rFonts w:ascii="Arial" w:hAnsi="Arial"/>
                <w:b/>
                <w:sz w:val="14"/>
              </w:rPr>
            </w:pPr>
            <w:r>
              <w:rPr>
                <w:rFonts w:ascii="Arial" w:hAnsi="Arial"/>
                <w:b/>
                <w:color w:val="151515"/>
                <w:sz w:val="14"/>
              </w:rPr>
              <w:t>Earliest stop / min delta /</w:t>
            </w:r>
            <w:r>
              <w:rPr>
                <w:rFonts w:ascii="Arial" w:hAnsi="Arial"/>
                <w:b/>
                <w:color w:val="151515"/>
                <w:spacing w:val="40"/>
                <w:sz w:val="14"/>
              </w:rPr>
              <w:t xml:space="preserve"> </w:t>
            </w:r>
            <w:r>
              <w:rPr>
                <w:rFonts w:ascii="Arial" w:hAnsi="Arial"/>
                <w:b/>
                <w:color w:val="151515"/>
                <w:spacing w:val="-2"/>
                <w:sz w:val="14"/>
              </w:rPr>
              <w:t>patience</w:t>
            </w:r>
          </w:p>
        </w:tc>
      </w:tr>
      <w:tr>
        <w:trPr>
          <w:trHeight w:val="260" w:hRule="atLeast"/>
        </w:trPr>
        <w:tc>
          <w:tcPr>
            <w:tcW w:w="1858" w:type="dxa"/>
            <w:tcBorders/>
          </w:tcPr>
          <w:p>
            <w:pPr>
              <w:pStyle w:val="TableParagraph"/>
              <w:spacing w:before="46" w:after="0"/>
              <w:rPr>
                <w:sz w:val="14"/>
              </w:rPr>
            </w:pPr>
            <w:r>
              <w:rPr>
                <w:color w:val="151515"/>
                <w:sz w:val="14"/>
              </w:rPr>
              <w:t>3D</w:t>
            </w:r>
            <w:r>
              <w:rPr>
                <w:color w:val="151515"/>
                <w:spacing w:val="3"/>
                <w:sz w:val="14"/>
              </w:rPr>
              <w:t xml:space="preserve"> </w:t>
            </w:r>
            <w:r>
              <w:rPr>
                <w:color w:val="151515"/>
                <w:sz w:val="14"/>
              </w:rPr>
              <w:t>U-</w:t>
            </w:r>
            <w:r>
              <w:rPr>
                <w:color w:val="151515"/>
                <w:spacing w:val="-5"/>
                <w:sz w:val="14"/>
              </w:rPr>
              <w:t>Net</w:t>
            </w:r>
          </w:p>
        </w:tc>
        <w:tc>
          <w:tcPr>
            <w:tcW w:w="1444" w:type="dxa"/>
            <w:tcBorders/>
          </w:tcPr>
          <w:p>
            <w:pPr>
              <w:pStyle w:val="TableParagraph"/>
              <w:spacing w:before="46" w:after="0"/>
              <w:ind w:start="185" w:end="144"/>
              <w:jc w:val="center"/>
              <w:rPr>
                <w:sz w:val="14"/>
              </w:rPr>
            </w:pPr>
            <w:r>
              <w:rPr>
                <w:color w:val="151515"/>
                <w:spacing w:val="-2"/>
                <w:sz w:val="14"/>
              </w:rPr>
              <w:t>5,647,749</w:t>
            </w:r>
          </w:p>
        </w:tc>
        <w:tc>
          <w:tcPr>
            <w:tcW w:w="1663" w:type="dxa"/>
            <w:tcBorders/>
          </w:tcPr>
          <w:p>
            <w:pPr>
              <w:pStyle w:val="TableParagraph"/>
              <w:spacing w:before="46" w:after="0"/>
              <w:ind w:start="236"/>
              <w:rPr>
                <w:sz w:val="14"/>
              </w:rPr>
            </w:pPr>
            <w:r>
              <w:rPr>
                <w:color w:val="151515"/>
                <w:spacing w:val="-2"/>
                <w:sz w:val="14"/>
              </w:rPr>
              <w:t>Keras</w:t>
            </w:r>
          </w:p>
        </w:tc>
        <w:tc>
          <w:tcPr>
            <w:tcW w:w="882" w:type="dxa"/>
            <w:tcBorders/>
          </w:tcPr>
          <w:p>
            <w:pPr>
              <w:pStyle w:val="TableParagraph"/>
              <w:spacing w:before="46" w:after="0"/>
              <w:ind w:start="102" w:end="35"/>
              <w:jc w:val="center"/>
              <w:rPr>
                <w:sz w:val="14"/>
              </w:rPr>
            </w:pPr>
            <w:r>
              <w:rPr>
                <w:color w:val="151515"/>
                <w:sz w:val="14"/>
              </w:rPr>
              <w:t>5</w:t>
            </w:r>
            <w:r>
              <w:rPr>
                <w:color w:val="151515"/>
                <w:spacing w:val="1"/>
                <w:sz w:val="14"/>
              </w:rPr>
              <w:t xml:space="preserve"> </w:t>
            </w:r>
            <w:r>
              <w:rPr>
                <w:color w:val="151515"/>
                <w:sz w:val="14"/>
              </w:rPr>
              <w:t>+</w:t>
            </w:r>
            <w:r>
              <w:rPr>
                <w:color w:val="151515"/>
                <w:spacing w:val="2"/>
                <w:sz w:val="14"/>
              </w:rPr>
              <w:t xml:space="preserve"> </w:t>
            </w:r>
            <w:r>
              <w:rPr>
                <w:color w:val="151515"/>
                <w:spacing w:val="-10"/>
                <w:sz w:val="14"/>
              </w:rPr>
              <w:t>2</w:t>
            </w:r>
          </w:p>
        </w:tc>
        <w:tc>
          <w:tcPr>
            <w:tcW w:w="1169" w:type="dxa"/>
            <w:tcBorders/>
          </w:tcPr>
          <w:p>
            <w:pPr>
              <w:pStyle w:val="TableParagraph"/>
              <w:spacing w:before="46" w:after="0"/>
              <w:ind w:start="203"/>
              <w:rPr>
                <w:sz w:val="14"/>
              </w:rPr>
            </w:pPr>
            <w:r>
              <w:rPr>
                <w:color w:val="151515"/>
                <w:spacing w:val="-5"/>
                <w:sz w:val="14"/>
              </w:rPr>
              <w:t>80</w:t>
            </w:r>
          </w:p>
        </w:tc>
        <w:tc>
          <w:tcPr>
            <w:tcW w:w="2658" w:type="dxa"/>
            <w:tcBorders/>
          </w:tcPr>
          <w:p>
            <w:pPr>
              <w:pStyle w:val="TableParagraph"/>
              <w:spacing w:before="46" w:after="0"/>
              <w:ind w:start="292"/>
              <w:rPr>
                <w:sz w:val="14"/>
              </w:rPr>
            </w:pPr>
            <w:r>
              <w:rPr>
                <w:color w:val="151515"/>
                <w:sz w:val="14"/>
              </w:rPr>
              <w:t>20</w:t>
            </w:r>
            <w:r>
              <w:rPr>
                <w:color w:val="151515"/>
                <w:spacing w:val="1"/>
                <w:sz w:val="14"/>
              </w:rPr>
              <w:t xml:space="preserve"> </w:t>
            </w:r>
            <w:r>
              <w:rPr>
                <w:color w:val="151515"/>
                <w:sz w:val="14"/>
              </w:rPr>
              <w:t>/</w:t>
            </w:r>
            <w:r>
              <w:rPr>
                <w:color w:val="151515"/>
                <w:spacing w:val="2"/>
                <w:sz w:val="14"/>
              </w:rPr>
              <w:t xml:space="preserve"> </w:t>
            </w:r>
            <w:r>
              <w:rPr>
                <w:color w:val="151515"/>
                <w:sz w:val="14"/>
              </w:rPr>
              <w:t>0.002</w:t>
            </w:r>
            <w:r>
              <w:rPr>
                <w:color w:val="151515"/>
                <w:spacing w:val="2"/>
                <w:sz w:val="14"/>
              </w:rPr>
              <w:t xml:space="preserve"> </w:t>
            </w:r>
            <w:r>
              <w:rPr>
                <w:color w:val="151515"/>
                <w:sz w:val="14"/>
              </w:rPr>
              <w:t>/</w:t>
            </w:r>
            <w:r>
              <w:rPr>
                <w:color w:val="151515"/>
                <w:spacing w:val="1"/>
                <w:sz w:val="14"/>
              </w:rPr>
              <w:t xml:space="preserve"> </w:t>
            </w:r>
            <w:r>
              <w:rPr>
                <w:color w:val="151515"/>
                <w:spacing w:val="-10"/>
                <w:sz w:val="14"/>
              </w:rPr>
              <w:t>8</w:t>
            </w:r>
          </w:p>
        </w:tc>
      </w:tr>
      <w:tr>
        <w:trPr>
          <w:trHeight w:val="265" w:hRule="atLeast"/>
        </w:trPr>
        <w:tc>
          <w:tcPr>
            <w:tcW w:w="1858" w:type="dxa"/>
            <w:tcBorders/>
          </w:tcPr>
          <w:p>
            <w:pPr>
              <w:pStyle w:val="TableParagraph"/>
              <w:spacing w:before="51" w:after="0"/>
              <w:rPr>
                <w:sz w:val="14"/>
              </w:rPr>
            </w:pPr>
            <w:r>
              <w:rPr>
                <w:color w:val="151515"/>
                <w:sz w:val="14"/>
              </w:rPr>
              <w:t>Residual</w:t>
            </w:r>
            <w:r>
              <w:rPr>
                <w:color w:val="151515"/>
                <w:spacing w:val="3"/>
                <w:sz w:val="14"/>
              </w:rPr>
              <w:t xml:space="preserve"> </w:t>
            </w:r>
            <w:r>
              <w:rPr>
                <w:color w:val="151515"/>
                <w:sz w:val="14"/>
              </w:rPr>
              <w:t>3D</w:t>
            </w:r>
            <w:r>
              <w:rPr>
                <w:color w:val="151515"/>
                <w:spacing w:val="4"/>
                <w:sz w:val="14"/>
              </w:rPr>
              <w:t xml:space="preserve"> </w:t>
            </w:r>
            <w:r>
              <w:rPr>
                <w:color w:val="151515"/>
                <w:sz w:val="14"/>
              </w:rPr>
              <w:t>U-</w:t>
            </w:r>
            <w:r>
              <w:rPr>
                <w:color w:val="151515"/>
                <w:spacing w:val="-5"/>
                <w:sz w:val="14"/>
              </w:rPr>
              <w:t>Net</w:t>
            </w:r>
          </w:p>
        </w:tc>
        <w:tc>
          <w:tcPr>
            <w:tcW w:w="1444" w:type="dxa"/>
            <w:tcBorders/>
          </w:tcPr>
          <w:p>
            <w:pPr>
              <w:pStyle w:val="TableParagraph"/>
              <w:spacing w:before="51" w:after="0"/>
              <w:ind w:start="185" w:end="144"/>
              <w:jc w:val="center"/>
              <w:rPr>
                <w:sz w:val="14"/>
              </w:rPr>
            </w:pPr>
            <w:r>
              <w:rPr>
                <w:color w:val="151515"/>
                <w:spacing w:val="-2"/>
                <w:sz w:val="14"/>
              </w:rPr>
              <w:t>5,736,325</w:t>
            </w:r>
          </w:p>
        </w:tc>
        <w:tc>
          <w:tcPr>
            <w:tcW w:w="1663" w:type="dxa"/>
            <w:tcBorders/>
          </w:tcPr>
          <w:p>
            <w:pPr>
              <w:pStyle w:val="TableParagraph"/>
              <w:spacing w:before="51" w:after="0"/>
              <w:ind w:start="236"/>
              <w:rPr>
                <w:sz w:val="14"/>
              </w:rPr>
            </w:pPr>
            <w:r>
              <w:rPr>
                <w:color w:val="151515"/>
                <w:spacing w:val="-2"/>
                <w:sz w:val="14"/>
              </w:rPr>
              <w:t>Keras</w:t>
            </w:r>
          </w:p>
        </w:tc>
        <w:tc>
          <w:tcPr>
            <w:tcW w:w="882" w:type="dxa"/>
            <w:tcBorders/>
          </w:tcPr>
          <w:p>
            <w:pPr>
              <w:pStyle w:val="TableParagraph"/>
              <w:spacing w:before="51" w:after="0"/>
              <w:ind w:start="102" w:end="35"/>
              <w:jc w:val="center"/>
              <w:rPr>
                <w:sz w:val="14"/>
              </w:rPr>
            </w:pPr>
            <w:r>
              <w:rPr>
                <w:color w:val="151515"/>
                <w:sz w:val="14"/>
              </w:rPr>
              <w:t>5</w:t>
            </w:r>
            <w:r>
              <w:rPr>
                <w:color w:val="151515"/>
                <w:spacing w:val="1"/>
                <w:sz w:val="14"/>
              </w:rPr>
              <w:t xml:space="preserve"> </w:t>
            </w:r>
            <w:r>
              <w:rPr>
                <w:color w:val="151515"/>
                <w:sz w:val="14"/>
              </w:rPr>
              <w:t>+</w:t>
            </w:r>
            <w:r>
              <w:rPr>
                <w:color w:val="151515"/>
                <w:spacing w:val="2"/>
                <w:sz w:val="14"/>
              </w:rPr>
              <w:t xml:space="preserve"> </w:t>
            </w:r>
            <w:r>
              <w:rPr>
                <w:color w:val="151515"/>
                <w:spacing w:val="-10"/>
                <w:sz w:val="14"/>
              </w:rPr>
              <w:t>2</w:t>
            </w:r>
          </w:p>
        </w:tc>
        <w:tc>
          <w:tcPr>
            <w:tcW w:w="1169" w:type="dxa"/>
            <w:tcBorders/>
          </w:tcPr>
          <w:p>
            <w:pPr>
              <w:pStyle w:val="TableParagraph"/>
              <w:spacing w:before="51" w:after="0"/>
              <w:ind w:start="203"/>
              <w:rPr>
                <w:sz w:val="14"/>
              </w:rPr>
            </w:pPr>
            <w:r>
              <w:rPr>
                <w:color w:val="151515"/>
                <w:spacing w:val="-5"/>
                <w:sz w:val="14"/>
              </w:rPr>
              <w:t>80</w:t>
            </w:r>
          </w:p>
        </w:tc>
        <w:tc>
          <w:tcPr>
            <w:tcW w:w="2658" w:type="dxa"/>
            <w:tcBorders/>
          </w:tcPr>
          <w:p>
            <w:pPr>
              <w:pStyle w:val="TableParagraph"/>
              <w:spacing w:before="51" w:after="0"/>
              <w:ind w:start="292"/>
              <w:rPr>
                <w:sz w:val="14"/>
              </w:rPr>
            </w:pPr>
            <w:r>
              <w:rPr>
                <w:color w:val="151515"/>
                <w:sz w:val="14"/>
              </w:rPr>
              <w:t>20</w:t>
            </w:r>
            <w:r>
              <w:rPr>
                <w:color w:val="151515"/>
                <w:spacing w:val="1"/>
                <w:sz w:val="14"/>
              </w:rPr>
              <w:t xml:space="preserve"> </w:t>
            </w:r>
            <w:r>
              <w:rPr>
                <w:color w:val="151515"/>
                <w:sz w:val="14"/>
              </w:rPr>
              <w:t>/</w:t>
            </w:r>
            <w:r>
              <w:rPr>
                <w:color w:val="151515"/>
                <w:spacing w:val="2"/>
                <w:sz w:val="14"/>
              </w:rPr>
              <w:t xml:space="preserve"> </w:t>
            </w:r>
            <w:r>
              <w:rPr>
                <w:color w:val="151515"/>
                <w:sz w:val="14"/>
              </w:rPr>
              <w:t>0.002</w:t>
            </w:r>
            <w:r>
              <w:rPr>
                <w:color w:val="151515"/>
                <w:spacing w:val="2"/>
                <w:sz w:val="14"/>
              </w:rPr>
              <w:t xml:space="preserve"> </w:t>
            </w:r>
            <w:r>
              <w:rPr>
                <w:color w:val="151515"/>
                <w:sz w:val="14"/>
              </w:rPr>
              <w:t>/</w:t>
            </w:r>
            <w:r>
              <w:rPr>
                <w:color w:val="151515"/>
                <w:spacing w:val="1"/>
                <w:sz w:val="14"/>
              </w:rPr>
              <w:t xml:space="preserve"> </w:t>
            </w:r>
            <w:r>
              <w:rPr>
                <w:color w:val="151515"/>
                <w:spacing w:val="-10"/>
                <w:sz w:val="14"/>
              </w:rPr>
              <w:t>8</w:t>
            </w:r>
          </w:p>
        </w:tc>
      </w:tr>
      <w:tr>
        <w:trPr>
          <w:trHeight w:val="265" w:hRule="atLeast"/>
        </w:trPr>
        <w:tc>
          <w:tcPr>
            <w:tcW w:w="1858" w:type="dxa"/>
            <w:tcBorders/>
          </w:tcPr>
          <w:p>
            <w:pPr>
              <w:pStyle w:val="TableParagraph"/>
              <w:spacing w:before="51" w:after="0"/>
              <w:rPr>
                <w:sz w:val="14"/>
              </w:rPr>
            </w:pPr>
            <w:r>
              <w:rPr>
                <w:color w:val="151515"/>
                <w:sz w:val="14"/>
              </w:rPr>
              <w:t>3D</w:t>
            </w:r>
            <w:r>
              <w:rPr>
                <w:color w:val="151515"/>
                <w:spacing w:val="3"/>
                <w:sz w:val="14"/>
              </w:rPr>
              <w:t xml:space="preserve"> </w:t>
            </w:r>
            <w:r>
              <w:rPr>
                <w:color w:val="151515"/>
                <w:sz w:val="14"/>
              </w:rPr>
              <w:t>V-</w:t>
            </w:r>
            <w:r>
              <w:rPr>
                <w:color w:val="151515"/>
                <w:spacing w:val="-5"/>
                <w:sz w:val="14"/>
              </w:rPr>
              <w:t>Net</w:t>
            </w:r>
          </w:p>
        </w:tc>
        <w:tc>
          <w:tcPr>
            <w:tcW w:w="1444" w:type="dxa"/>
            <w:tcBorders/>
          </w:tcPr>
          <w:p>
            <w:pPr>
              <w:pStyle w:val="TableParagraph"/>
              <w:spacing w:before="51" w:after="0"/>
              <w:ind w:start="185" w:end="64"/>
              <w:jc w:val="center"/>
              <w:rPr>
                <w:sz w:val="14"/>
              </w:rPr>
            </w:pPr>
            <w:r>
              <w:rPr>
                <w:color w:val="151515"/>
                <w:spacing w:val="-2"/>
                <w:sz w:val="14"/>
              </w:rPr>
              <w:t>10,082,069</w:t>
            </w:r>
          </w:p>
        </w:tc>
        <w:tc>
          <w:tcPr>
            <w:tcW w:w="1663" w:type="dxa"/>
            <w:tcBorders/>
          </w:tcPr>
          <w:p>
            <w:pPr>
              <w:pStyle w:val="TableParagraph"/>
              <w:spacing w:before="51" w:after="0"/>
              <w:ind w:start="236"/>
              <w:rPr>
                <w:sz w:val="14"/>
              </w:rPr>
            </w:pPr>
            <w:r>
              <w:rPr>
                <w:color w:val="151515"/>
                <w:spacing w:val="-2"/>
                <w:sz w:val="14"/>
              </w:rPr>
              <w:t>Keras</w:t>
            </w:r>
          </w:p>
        </w:tc>
        <w:tc>
          <w:tcPr>
            <w:tcW w:w="882" w:type="dxa"/>
            <w:tcBorders/>
          </w:tcPr>
          <w:p>
            <w:pPr>
              <w:pStyle w:val="TableParagraph"/>
              <w:spacing w:before="51" w:after="0"/>
              <w:ind w:start="102" w:end="35"/>
              <w:jc w:val="center"/>
              <w:rPr>
                <w:sz w:val="14"/>
              </w:rPr>
            </w:pPr>
            <w:r>
              <w:rPr>
                <w:color w:val="151515"/>
                <w:sz w:val="14"/>
              </w:rPr>
              <w:t>5</w:t>
            </w:r>
            <w:r>
              <w:rPr>
                <w:color w:val="151515"/>
                <w:spacing w:val="1"/>
                <w:sz w:val="14"/>
              </w:rPr>
              <w:t xml:space="preserve"> </w:t>
            </w:r>
            <w:r>
              <w:rPr>
                <w:color w:val="151515"/>
                <w:sz w:val="14"/>
              </w:rPr>
              <w:t>+</w:t>
            </w:r>
            <w:r>
              <w:rPr>
                <w:color w:val="151515"/>
                <w:spacing w:val="2"/>
                <w:sz w:val="14"/>
              </w:rPr>
              <w:t xml:space="preserve"> </w:t>
            </w:r>
            <w:r>
              <w:rPr>
                <w:color w:val="151515"/>
                <w:spacing w:val="-10"/>
                <w:sz w:val="14"/>
              </w:rPr>
              <w:t>2</w:t>
            </w:r>
          </w:p>
        </w:tc>
        <w:tc>
          <w:tcPr>
            <w:tcW w:w="1169" w:type="dxa"/>
            <w:tcBorders/>
          </w:tcPr>
          <w:p>
            <w:pPr>
              <w:pStyle w:val="TableParagraph"/>
              <w:spacing w:before="51" w:after="0"/>
              <w:ind w:start="203"/>
              <w:rPr>
                <w:sz w:val="14"/>
              </w:rPr>
            </w:pPr>
            <w:r>
              <w:rPr>
                <w:color w:val="151515"/>
                <w:spacing w:val="-5"/>
                <w:sz w:val="14"/>
              </w:rPr>
              <w:t>80</w:t>
            </w:r>
          </w:p>
        </w:tc>
        <w:tc>
          <w:tcPr>
            <w:tcW w:w="2658" w:type="dxa"/>
            <w:tcBorders/>
          </w:tcPr>
          <w:p>
            <w:pPr>
              <w:pStyle w:val="TableParagraph"/>
              <w:spacing w:before="51" w:after="0"/>
              <w:ind w:start="292"/>
              <w:rPr>
                <w:sz w:val="14"/>
              </w:rPr>
            </w:pPr>
            <w:r>
              <w:rPr>
                <w:color w:val="151515"/>
                <w:sz w:val="14"/>
              </w:rPr>
              <w:t>20</w:t>
            </w:r>
            <w:r>
              <w:rPr>
                <w:color w:val="151515"/>
                <w:spacing w:val="1"/>
                <w:sz w:val="14"/>
              </w:rPr>
              <w:t xml:space="preserve"> </w:t>
            </w:r>
            <w:r>
              <w:rPr>
                <w:color w:val="151515"/>
                <w:sz w:val="14"/>
              </w:rPr>
              <w:t>/</w:t>
            </w:r>
            <w:r>
              <w:rPr>
                <w:color w:val="151515"/>
                <w:spacing w:val="2"/>
                <w:sz w:val="14"/>
              </w:rPr>
              <w:t xml:space="preserve"> </w:t>
            </w:r>
            <w:r>
              <w:rPr>
                <w:color w:val="151515"/>
                <w:sz w:val="14"/>
              </w:rPr>
              <w:t>0.002</w:t>
            </w:r>
            <w:r>
              <w:rPr>
                <w:color w:val="151515"/>
                <w:spacing w:val="2"/>
                <w:sz w:val="14"/>
              </w:rPr>
              <w:t xml:space="preserve"> </w:t>
            </w:r>
            <w:r>
              <w:rPr>
                <w:color w:val="151515"/>
                <w:sz w:val="14"/>
              </w:rPr>
              <w:t>/</w:t>
            </w:r>
            <w:r>
              <w:rPr>
                <w:color w:val="151515"/>
                <w:spacing w:val="1"/>
                <w:sz w:val="14"/>
              </w:rPr>
              <w:t xml:space="preserve"> </w:t>
            </w:r>
            <w:r>
              <w:rPr>
                <w:color w:val="151515"/>
                <w:spacing w:val="-10"/>
                <w:sz w:val="14"/>
              </w:rPr>
              <w:t>8</w:t>
            </w:r>
          </w:p>
        </w:tc>
      </w:tr>
      <w:tr>
        <w:trPr>
          <w:trHeight w:val="265" w:hRule="atLeast"/>
        </w:trPr>
        <w:tc>
          <w:tcPr>
            <w:tcW w:w="1858" w:type="dxa"/>
            <w:tcBorders/>
          </w:tcPr>
          <w:p>
            <w:pPr>
              <w:pStyle w:val="TableParagraph"/>
              <w:spacing w:before="51" w:after="0"/>
              <w:rPr>
                <w:sz w:val="14"/>
              </w:rPr>
            </w:pPr>
            <w:r>
              <w:rPr>
                <w:color w:val="151515"/>
                <w:sz w:val="14"/>
              </w:rPr>
              <w:t>3D</w:t>
            </w:r>
            <w:r>
              <w:rPr>
                <w:color w:val="151515"/>
                <w:spacing w:val="3"/>
                <w:sz w:val="14"/>
              </w:rPr>
              <w:t xml:space="preserve"> </w:t>
            </w:r>
            <w:r>
              <w:rPr>
                <w:color w:val="151515"/>
                <w:sz w:val="14"/>
              </w:rPr>
              <w:t>U-</w:t>
            </w:r>
            <w:r>
              <w:rPr>
                <w:color w:val="151515"/>
                <w:spacing w:val="-2"/>
                <w:sz w:val="14"/>
              </w:rPr>
              <w:t>Net++</w:t>
            </w:r>
          </w:p>
        </w:tc>
        <w:tc>
          <w:tcPr>
            <w:tcW w:w="1444" w:type="dxa"/>
            <w:tcBorders/>
          </w:tcPr>
          <w:p>
            <w:pPr>
              <w:pStyle w:val="TableParagraph"/>
              <w:spacing w:before="51" w:after="0"/>
              <w:ind w:start="185" w:end="144"/>
              <w:jc w:val="center"/>
              <w:rPr>
                <w:sz w:val="14"/>
              </w:rPr>
            </w:pPr>
            <w:r>
              <w:rPr>
                <w:color w:val="151515"/>
                <w:spacing w:val="-2"/>
                <w:sz w:val="14"/>
              </w:rPr>
              <w:t>6,554,101</w:t>
            </w:r>
          </w:p>
        </w:tc>
        <w:tc>
          <w:tcPr>
            <w:tcW w:w="1663" w:type="dxa"/>
            <w:tcBorders/>
          </w:tcPr>
          <w:p>
            <w:pPr>
              <w:pStyle w:val="TableParagraph"/>
              <w:spacing w:before="51" w:after="0"/>
              <w:ind w:start="236"/>
              <w:rPr>
                <w:sz w:val="14"/>
              </w:rPr>
            </w:pPr>
            <w:r>
              <w:rPr>
                <w:color w:val="151515"/>
                <w:spacing w:val="-2"/>
                <w:sz w:val="14"/>
              </w:rPr>
              <w:t>Keras</w:t>
            </w:r>
          </w:p>
        </w:tc>
        <w:tc>
          <w:tcPr>
            <w:tcW w:w="882" w:type="dxa"/>
            <w:tcBorders/>
          </w:tcPr>
          <w:p>
            <w:pPr>
              <w:pStyle w:val="TableParagraph"/>
              <w:spacing w:before="51" w:after="0"/>
              <w:ind w:start="102" w:end="35"/>
              <w:jc w:val="center"/>
              <w:rPr>
                <w:sz w:val="14"/>
              </w:rPr>
            </w:pPr>
            <w:r>
              <w:rPr>
                <w:color w:val="151515"/>
                <w:sz w:val="14"/>
              </w:rPr>
              <w:t>5</w:t>
            </w:r>
            <w:r>
              <w:rPr>
                <w:color w:val="151515"/>
                <w:spacing w:val="1"/>
                <w:sz w:val="14"/>
              </w:rPr>
              <w:t xml:space="preserve"> </w:t>
            </w:r>
            <w:r>
              <w:rPr>
                <w:color w:val="151515"/>
                <w:sz w:val="14"/>
              </w:rPr>
              <w:t>+</w:t>
            </w:r>
            <w:r>
              <w:rPr>
                <w:color w:val="151515"/>
                <w:spacing w:val="2"/>
                <w:sz w:val="14"/>
              </w:rPr>
              <w:t xml:space="preserve"> </w:t>
            </w:r>
            <w:r>
              <w:rPr>
                <w:color w:val="151515"/>
                <w:spacing w:val="-10"/>
                <w:sz w:val="14"/>
              </w:rPr>
              <w:t>2</w:t>
            </w:r>
          </w:p>
        </w:tc>
        <w:tc>
          <w:tcPr>
            <w:tcW w:w="1169" w:type="dxa"/>
            <w:tcBorders/>
          </w:tcPr>
          <w:p>
            <w:pPr>
              <w:pStyle w:val="TableParagraph"/>
              <w:spacing w:before="51" w:after="0"/>
              <w:ind w:start="203"/>
              <w:rPr>
                <w:sz w:val="14"/>
              </w:rPr>
            </w:pPr>
            <w:r>
              <w:rPr>
                <w:color w:val="151515"/>
                <w:spacing w:val="-5"/>
                <w:sz w:val="14"/>
              </w:rPr>
              <w:t>80</w:t>
            </w:r>
          </w:p>
        </w:tc>
        <w:tc>
          <w:tcPr>
            <w:tcW w:w="2658" w:type="dxa"/>
            <w:tcBorders/>
          </w:tcPr>
          <w:p>
            <w:pPr>
              <w:pStyle w:val="TableParagraph"/>
              <w:spacing w:before="51" w:after="0"/>
              <w:ind w:start="292"/>
              <w:rPr>
                <w:sz w:val="14"/>
              </w:rPr>
            </w:pPr>
            <w:r>
              <w:rPr>
                <w:color w:val="151515"/>
                <w:sz w:val="14"/>
              </w:rPr>
              <w:t>20</w:t>
            </w:r>
            <w:r>
              <w:rPr>
                <w:color w:val="151515"/>
                <w:spacing w:val="1"/>
                <w:sz w:val="14"/>
              </w:rPr>
              <w:t xml:space="preserve"> </w:t>
            </w:r>
            <w:r>
              <w:rPr>
                <w:color w:val="151515"/>
                <w:sz w:val="14"/>
              </w:rPr>
              <w:t>/</w:t>
            </w:r>
            <w:r>
              <w:rPr>
                <w:color w:val="151515"/>
                <w:spacing w:val="2"/>
                <w:sz w:val="14"/>
              </w:rPr>
              <w:t xml:space="preserve"> </w:t>
            </w:r>
            <w:r>
              <w:rPr>
                <w:color w:val="151515"/>
                <w:sz w:val="14"/>
              </w:rPr>
              <w:t>0.002</w:t>
            </w:r>
            <w:r>
              <w:rPr>
                <w:color w:val="151515"/>
                <w:spacing w:val="2"/>
                <w:sz w:val="14"/>
              </w:rPr>
              <w:t xml:space="preserve"> </w:t>
            </w:r>
            <w:r>
              <w:rPr>
                <w:color w:val="151515"/>
                <w:sz w:val="14"/>
              </w:rPr>
              <w:t>/</w:t>
            </w:r>
            <w:r>
              <w:rPr>
                <w:color w:val="151515"/>
                <w:spacing w:val="1"/>
                <w:sz w:val="14"/>
              </w:rPr>
              <w:t xml:space="preserve"> </w:t>
            </w:r>
            <w:r>
              <w:rPr>
                <w:color w:val="151515"/>
                <w:spacing w:val="-10"/>
                <w:sz w:val="14"/>
              </w:rPr>
              <w:t>8</w:t>
            </w:r>
          </w:p>
        </w:tc>
      </w:tr>
      <w:tr>
        <w:trPr>
          <w:trHeight w:val="212" w:hRule="atLeast"/>
        </w:trPr>
        <w:tc>
          <w:tcPr>
            <w:tcW w:w="1858" w:type="dxa"/>
            <w:tcBorders/>
          </w:tcPr>
          <w:p>
            <w:pPr>
              <w:pStyle w:val="TableParagraph"/>
              <w:spacing w:lineRule="exact" w:line="142" w:before="51" w:after="0"/>
              <w:rPr>
                <w:sz w:val="14"/>
              </w:rPr>
            </w:pPr>
            <w:r>
              <w:rPr>
                <w:color w:val="151515"/>
                <w:sz w:val="14"/>
              </w:rPr>
              <w:t>nnU-Net</w:t>
            </w:r>
            <w:r>
              <w:rPr>
                <w:color w:val="151515"/>
                <w:spacing w:val="2"/>
                <w:sz w:val="14"/>
              </w:rPr>
              <w:t xml:space="preserve"> </w:t>
            </w:r>
            <w:r>
              <w:rPr>
                <w:color w:val="151515"/>
                <w:sz w:val="14"/>
              </w:rPr>
              <w:t>v2</w:t>
            </w:r>
            <w:r>
              <w:rPr>
                <w:color w:val="151515"/>
                <w:spacing w:val="3"/>
                <w:sz w:val="14"/>
              </w:rPr>
              <w:t xml:space="preserve"> </w:t>
            </w:r>
            <w:r>
              <w:rPr>
                <w:color w:val="151515"/>
                <w:sz w:val="14"/>
              </w:rPr>
              <w:t>3D</w:t>
            </w:r>
            <w:r>
              <w:rPr>
                <w:color w:val="151515"/>
                <w:spacing w:val="3"/>
                <w:sz w:val="14"/>
              </w:rPr>
              <w:t xml:space="preserve"> </w:t>
            </w:r>
            <w:r>
              <w:rPr>
                <w:color w:val="151515"/>
                <w:spacing w:val="-2"/>
                <w:sz w:val="14"/>
              </w:rPr>
              <w:t>fullres</w:t>
            </w:r>
          </w:p>
        </w:tc>
        <w:tc>
          <w:tcPr>
            <w:tcW w:w="1444" w:type="dxa"/>
            <w:tcBorders/>
          </w:tcPr>
          <w:p>
            <w:pPr>
              <w:pStyle w:val="TableParagraph"/>
              <w:spacing w:lineRule="exact" w:line="142" w:before="51" w:after="0"/>
              <w:ind w:start="185" w:end="64"/>
              <w:jc w:val="center"/>
              <w:rPr>
                <w:sz w:val="14"/>
              </w:rPr>
            </w:pPr>
            <w:r>
              <w:rPr>
                <w:color w:val="151515"/>
                <w:spacing w:val="-2"/>
                <w:sz w:val="14"/>
              </w:rPr>
              <w:t>31,200,601</w:t>
            </w:r>
          </w:p>
        </w:tc>
        <w:tc>
          <w:tcPr>
            <w:tcW w:w="1663" w:type="dxa"/>
            <w:tcBorders/>
          </w:tcPr>
          <w:p>
            <w:pPr>
              <w:pStyle w:val="TableParagraph"/>
              <w:spacing w:lineRule="exact" w:line="142" w:before="51" w:after="0"/>
              <w:ind w:start="236"/>
              <w:rPr>
                <w:sz w:val="14"/>
              </w:rPr>
            </w:pPr>
            <w:r>
              <w:rPr>
                <w:color w:val="151515"/>
                <w:sz w:val="14"/>
              </w:rPr>
              <w:t>PyTorch/nnU-</w:t>
            </w:r>
            <w:r>
              <w:rPr>
                <w:color w:val="151515"/>
                <w:spacing w:val="-5"/>
                <w:sz w:val="14"/>
              </w:rPr>
              <w:t>Net</w:t>
            </w:r>
          </w:p>
        </w:tc>
        <w:tc>
          <w:tcPr>
            <w:tcW w:w="882" w:type="dxa"/>
            <w:tcBorders/>
          </w:tcPr>
          <w:p>
            <w:pPr>
              <w:pStyle w:val="TableParagraph"/>
              <w:spacing w:lineRule="exact" w:line="142" w:before="51" w:after="0"/>
              <w:ind w:start="102" w:end="35"/>
              <w:jc w:val="center"/>
              <w:rPr>
                <w:sz w:val="14"/>
              </w:rPr>
            </w:pPr>
            <w:r>
              <w:rPr>
                <w:color w:val="151515"/>
                <w:sz w:val="14"/>
              </w:rPr>
              <w:t>5</w:t>
            </w:r>
            <w:r>
              <w:rPr>
                <w:color w:val="151515"/>
                <w:spacing w:val="1"/>
                <w:sz w:val="14"/>
              </w:rPr>
              <w:t xml:space="preserve"> </w:t>
            </w:r>
            <w:r>
              <w:rPr>
                <w:color w:val="151515"/>
                <w:sz w:val="14"/>
              </w:rPr>
              <w:t>+</w:t>
            </w:r>
            <w:r>
              <w:rPr>
                <w:color w:val="151515"/>
                <w:spacing w:val="2"/>
                <w:sz w:val="14"/>
              </w:rPr>
              <w:t xml:space="preserve"> </w:t>
            </w:r>
            <w:r>
              <w:rPr>
                <w:color w:val="151515"/>
                <w:spacing w:val="-10"/>
                <w:sz w:val="14"/>
              </w:rPr>
              <w:t>2</w:t>
            </w:r>
          </w:p>
        </w:tc>
        <w:tc>
          <w:tcPr>
            <w:tcW w:w="1169" w:type="dxa"/>
            <w:tcBorders/>
          </w:tcPr>
          <w:p>
            <w:pPr>
              <w:pStyle w:val="TableParagraph"/>
              <w:spacing w:lineRule="exact" w:line="142" w:before="51" w:after="0"/>
              <w:ind w:start="203"/>
              <w:rPr>
                <w:sz w:val="14"/>
              </w:rPr>
            </w:pPr>
            <w:r>
              <w:rPr>
                <w:color w:val="151515"/>
                <w:spacing w:val="-5"/>
                <w:sz w:val="14"/>
              </w:rPr>
              <w:t>150</w:t>
            </w:r>
          </w:p>
        </w:tc>
        <w:tc>
          <w:tcPr>
            <w:tcW w:w="2658" w:type="dxa"/>
            <w:tcBorders/>
          </w:tcPr>
          <w:p>
            <w:pPr>
              <w:pStyle w:val="TableParagraph"/>
              <w:spacing w:lineRule="exact" w:line="142" w:before="51" w:after="0"/>
              <w:ind w:start="292"/>
              <w:rPr>
                <w:sz w:val="14"/>
              </w:rPr>
            </w:pPr>
            <w:r>
              <w:rPr>
                <w:color w:val="151515"/>
                <w:sz w:val="14"/>
              </w:rPr>
              <w:t>100</w:t>
            </w:r>
            <w:r>
              <w:rPr>
                <w:color w:val="151515"/>
                <w:spacing w:val="1"/>
                <w:sz w:val="14"/>
              </w:rPr>
              <w:t xml:space="preserve"> </w:t>
            </w:r>
            <w:r>
              <w:rPr>
                <w:color w:val="151515"/>
                <w:sz w:val="14"/>
              </w:rPr>
              <w:t>/</w:t>
            </w:r>
            <w:r>
              <w:rPr>
                <w:color w:val="151515"/>
                <w:spacing w:val="2"/>
                <w:sz w:val="14"/>
              </w:rPr>
              <w:t xml:space="preserve"> </w:t>
            </w:r>
            <w:r>
              <w:rPr>
                <w:color w:val="151515"/>
                <w:sz w:val="14"/>
              </w:rPr>
              <w:t>0.002</w:t>
            </w:r>
            <w:r>
              <w:rPr>
                <w:color w:val="151515"/>
                <w:spacing w:val="2"/>
                <w:sz w:val="14"/>
              </w:rPr>
              <w:t xml:space="preserve"> </w:t>
            </w:r>
            <w:r>
              <w:rPr>
                <w:color w:val="151515"/>
                <w:sz w:val="14"/>
              </w:rPr>
              <w:t>/</w:t>
            </w:r>
            <w:r>
              <w:rPr>
                <w:color w:val="151515"/>
                <w:spacing w:val="2"/>
                <w:sz w:val="14"/>
              </w:rPr>
              <w:t xml:space="preserve"> </w:t>
            </w:r>
            <w:r>
              <w:rPr>
                <w:color w:val="151515"/>
                <w:spacing w:val="-5"/>
                <w:sz w:val="14"/>
              </w:rPr>
              <w:t>15</w:t>
            </w:r>
          </w:p>
        </w:tc>
      </w:tr>
    </w:tbl>
    <w:p>
      <w:pPr>
        <w:pStyle w:val="BodyText"/>
        <w:spacing w:before="56" w:after="0"/>
        <w:rPr/>
      </w:pPr>
      <w:r>
        <w:rPr>
          <w:color w:val="151515"/>
        </w:rPr>
        <w:t>“</w:t>
      </w:r>
      <w:r>
        <w:rPr>
          <w:color w:val="151515"/>
        </w:rPr>
        <w:t>5</w:t>
      </w:r>
      <w:r>
        <w:rPr>
          <w:color w:val="151515"/>
          <w:spacing w:val="-7"/>
        </w:rPr>
        <w:t xml:space="preserve"> </w:t>
      </w:r>
      <w:r>
        <w:rPr>
          <w:color w:val="151515"/>
        </w:rPr>
        <w:t>+</w:t>
      </w:r>
      <w:r>
        <w:rPr>
          <w:color w:val="151515"/>
          <w:spacing w:val="-6"/>
        </w:rPr>
        <w:t xml:space="preserve"> </w:t>
      </w:r>
      <w:r>
        <w:rPr>
          <w:color w:val="151515"/>
        </w:rPr>
        <w:t>2”</w:t>
      </w:r>
      <w:r>
        <w:rPr>
          <w:color w:val="151515"/>
          <w:spacing w:val="-7"/>
        </w:rPr>
        <w:t xml:space="preserve"> </w:t>
      </w:r>
      <w:r>
        <w:rPr>
          <w:color w:val="151515"/>
        </w:rPr>
        <w:t>denotes</w:t>
      </w:r>
      <w:r>
        <w:rPr>
          <w:color w:val="151515"/>
          <w:spacing w:val="-6"/>
        </w:rPr>
        <w:t xml:space="preserve"> </w:t>
      </w:r>
      <w:r>
        <w:rPr>
          <w:color w:val="151515"/>
        </w:rPr>
        <w:t>five</w:t>
      </w:r>
      <w:r>
        <w:rPr>
          <w:color w:val="151515"/>
          <w:spacing w:val="-7"/>
        </w:rPr>
        <w:t xml:space="preserve"> </w:t>
      </w:r>
      <w:r>
        <w:rPr>
          <w:color w:val="151515"/>
        </w:rPr>
        <w:t>primary</w:t>
      </w:r>
      <w:r>
        <w:rPr>
          <w:color w:val="151515"/>
          <w:spacing w:val="-6"/>
        </w:rPr>
        <w:t xml:space="preserve"> </w:t>
      </w:r>
      <w:r>
        <w:rPr>
          <w:color w:val="151515"/>
        </w:rPr>
        <w:t>folds</w:t>
      </w:r>
      <w:r>
        <w:rPr>
          <w:color w:val="151515"/>
          <w:spacing w:val="-6"/>
        </w:rPr>
        <w:t xml:space="preserve"> </w:t>
      </w:r>
      <w:r>
        <w:rPr>
          <w:color w:val="151515"/>
        </w:rPr>
        <w:t>at</w:t>
      </w:r>
      <w:r>
        <w:rPr>
          <w:color w:val="151515"/>
          <w:spacing w:val="-7"/>
        </w:rPr>
        <w:t xml:space="preserve"> </w:t>
      </w:r>
      <w:r>
        <w:rPr>
          <w:color w:val="151515"/>
        </w:rPr>
        <w:t>seed</w:t>
      </w:r>
      <w:r>
        <w:rPr>
          <w:color w:val="151515"/>
          <w:spacing w:val="-6"/>
        </w:rPr>
        <w:t xml:space="preserve"> </w:t>
      </w:r>
      <w:r>
        <w:rPr>
          <w:color w:val="151515"/>
        </w:rPr>
        <w:t>2026</w:t>
      </w:r>
      <w:r>
        <w:rPr>
          <w:color w:val="151515"/>
          <w:spacing w:val="-7"/>
        </w:rPr>
        <w:t xml:space="preserve"> </w:t>
      </w:r>
      <w:r>
        <w:rPr>
          <w:color w:val="151515"/>
        </w:rPr>
        <w:t>plus</w:t>
      </w:r>
      <w:r>
        <w:rPr>
          <w:color w:val="151515"/>
          <w:spacing w:val="-6"/>
        </w:rPr>
        <w:t xml:space="preserve"> </w:t>
      </w:r>
      <w:r>
        <w:rPr>
          <w:color w:val="151515"/>
        </w:rPr>
        <w:t>two</w:t>
      </w:r>
      <w:r>
        <w:rPr>
          <w:color w:val="151515"/>
          <w:spacing w:val="-6"/>
        </w:rPr>
        <w:t xml:space="preserve"> </w:t>
      </w:r>
      <w:r>
        <w:rPr>
          <w:color w:val="151515"/>
        </w:rPr>
        <w:t>fold-1</w:t>
      </w:r>
      <w:r>
        <w:rPr>
          <w:color w:val="151515"/>
          <w:spacing w:val="-7"/>
        </w:rPr>
        <w:t xml:space="preserve"> </w:t>
      </w:r>
      <w:r>
        <w:rPr>
          <w:color w:val="151515"/>
        </w:rPr>
        <w:t>seed</w:t>
      </w:r>
      <w:r>
        <w:rPr>
          <w:color w:val="151515"/>
          <w:spacing w:val="-6"/>
        </w:rPr>
        <w:t xml:space="preserve"> </w:t>
      </w:r>
      <w:r>
        <w:rPr>
          <w:color w:val="151515"/>
          <w:spacing w:val="-2"/>
        </w:rPr>
        <w:t>repeats.</w:t>
      </w:r>
    </w:p>
    <w:p>
      <w:pPr>
        <w:pStyle w:val="BodyText"/>
        <w:spacing w:before="158" w:after="0"/>
        <w:ind w:start="0"/>
        <w:jc w:val="start"/>
        <w:rPr/>
      </w:pPr>
      <w:r>
        <w:rPr/>
      </w:r>
    </w:p>
    <w:p>
      <w:pPr>
        <w:pStyle w:val="ListParagraph"/>
        <w:numPr>
          <w:ilvl w:val="1"/>
          <w:numId w:val="3"/>
        </w:numPr>
        <w:outlineLvl w:val="1"/>
        <w:rPr>
          <w:b/>
        </w:rPr>
      </w:pPr>
      <w:bookmarkStart w:id="7" w:name="2.5_Controlled_Keras_pipeline"/>
      <w:bookmarkEnd w:id="7"/>
      <w:r>
        <w:rPr>
          <w:b/>
        </w:rPr>
        <w:t>Controlled Keras pipeline</w:t>
      </w:r>
    </w:p>
    <w:p>
      <w:pPr>
        <w:pStyle w:val="BodyText"/>
        <w:spacing w:lineRule="auto" w:line="302" w:before="128" w:after="0"/>
        <w:ind w:start="31" w:end="92"/>
        <w:rPr>
          <w:color w:val="151515"/>
        </w:rPr>
      </w:pPr>
      <w:r>
        <w:rPr>
          <w:color w:val="151515"/>
        </w:rPr>
        <w:t>Four Keras models received input channels in the following order: native T1-weighted image, contrast-enhanced T1-weighted image, T2-weighted image, and FLAIR. Each channel underwent z-normalization based on non-zero brain voxels. Training was performed on 96 × 96 × 96 voxel patches with a batch size of 1, using four patches per selected case and an 80% probability of centering the sample on a foreground region (applying a random center shift of up to 16 voxels). Augmentation was performed independently along each spatial axis with a probability of 0.5; intensity scaling (range 0.9–1.1) combined with the addition of Gaussian noise (standard deviation 0.03) within the brain region was applied with a probability of 0.30.</w:t>
      </w:r>
    </w:p>
    <w:p>
      <w:pPr>
        <w:pStyle w:val="BodyText"/>
        <w:spacing w:lineRule="auto" w:line="302" w:before="128" w:after="0"/>
        <w:ind w:start="31" w:end="92"/>
        <w:rPr>
          <w:color w:val="151515"/>
        </w:rPr>
      </w:pPr>
      <w:r>
        <w:rPr>
          <w:color w:val="151515"/>
        </w:rPr>
        <w:t>All four models employed a five-class softmax output layer, the Adam optimizer with an initial learning rate of 2 × 10⁻⁴, and a loss function defined as the sum of categorical cross-entropy and (1 minus the mean soft Dice coefficient across present foreground classes). Each epoch consisted of 256 training steps and 64 internal tuning steps. Inference on the full volume utilized overlapping 96-voxel windows with a stride of 64 voxels. TensorFlow version 2.20.0 and Keras version 3.13.2 were fixed; precise details regarding Python, NumPy, CUDA, GPU, and package versions were recorded for each run.</w:t>
      </w:r>
    </w:p>
    <w:p>
      <w:pPr>
        <w:pStyle w:val="BodyText"/>
        <w:spacing w:lineRule="auto" w:line="302" w:before="128" w:after="0"/>
        <w:ind w:start="31" w:end="92"/>
        <w:rPr>
          <w:color w:val="151515"/>
        </w:rPr>
      </w:pPr>
      <w:r>
        <w:rPr>
          <w:color w:val="151515"/>
        </w:rPr>
        <w:t>The 3D U-Net featured a four-level encoder-decoder architecture with 16, 32, 64, and 128 features at the encoder and decoder levels, and a bottleneck with 256 features. The architecture incorporated blocks consisting of two convolutions, group normalization, ReLU, upsampling via transposed convolutions, and long skip connections. In the Residual U-Net, standard blocks were replaced by learnable residual blocks. V-Net employed learnable strided downsampling, upsampling via transposed convolutions, residual stages with PReLU, and long skip connections between the encoder and decoder. U-Net++ utilized a fully nested 3D decoder with dense skip pathways from x(0,0) to x(0,4). The source code for the architectures is preserved in the notebooks used to conduct the experiments.</w:t>
      </w:r>
    </w:p>
    <w:p>
      <w:pPr>
        <w:pStyle w:val="BodyText"/>
        <w:spacing w:lineRule="auto" w:line="302" w:before="128" w:after="0"/>
        <w:ind w:start="31" w:end="92"/>
        <w:rPr>
          <w:color w:val="151515"/>
        </w:rPr>
      </w:pPr>
      <w:r>
        <w:rPr>
          <w:color w:val="151515"/>
        </w:rPr>
        <w:t>Early stopping was monitored based on the mean foreground Dice coefficient on the internal tuning set. Monitoring began after the 20th epoch; an improvement of at least 0.002 was required, and training ceased after eight consecutive epochs without significant improvement. The checkpoint yielding the best result on the internal tuning set was restored.</w:t>
      </w:r>
    </w:p>
    <w:p>
      <w:pPr>
        <w:pStyle w:val="BodyText"/>
        <w:spacing w:lineRule="auto" w:line="302" w:before="128" w:after="0"/>
        <w:ind w:start="31" w:end="92"/>
        <w:rPr>
          <w:color w:val="151515"/>
        </w:rPr>
      </w:pPr>
      <w:r>
        <w:rPr>
          <w:color w:val="151515"/>
        </w:rPr>
      </w:r>
    </w:p>
    <w:p>
      <w:pPr>
        <w:pStyle w:val="ListParagraph"/>
        <w:numPr>
          <w:ilvl w:val="1"/>
          <w:numId w:val="3"/>
        </w:numPr>
        <w:outlineLvl w:val="1"/>
        <w:rPr>
          <w:b/>
        </w:rPr>
      </w:pPr>
      <w:bookmarkStart w:id="8" w:name="2.6_nnU-Net_pipeline"/>
      <w:bookmarkEnd w:id="8"/>
      <w:r>
        <w:rPr>
          <w:b/>
        </w:rPr>
        <w:t>nnU-Net pipeline</w:t>
      </w:r>
    </w:p>
    <w:p>
      <w:pPr>
        <w:pStyle w:val="BodyText"/>
        <w:spacing w:lineRule="auto" w:line="302" w:before="99" w:after="0"/>
        <w:ind w:start="31" w:end="93"/>
        <w:rPr>
          <w:color w:val="151515"/>
        </w:rPr>
      </w:pPr>
      <w:r>
        <w:rPr>
          <w:color w:val="151515"/>
        </w:rPr>
        <w:t>nnU-Net v2.8.1, using PyTorch 2.8.0, employed the `3d_fullres` configuration. The planned patch size was 128 × 128 × 128, and the batch size was 2. The system retained nnU-Net’s self-configuring procedures for preprocessing, network planning, patch sampling, augmentation, optimization, and inference [7]. Patient identities in the outer and inner partitions matched those used in the Keras experiments; however, the full pipeline was intentionally not forced to replicate the Keras preprocessing steps. Consequently, this comparison does not constitute an architectural ablation study.</w:t>
      </w:r>
    </w:p>
    <w:p>
      <w:pPr>
        <w:pStyle w:val="BodyText"/>
        <w:spacing w:lineRule="auto" w:line="302" w:before="99" w:after="0"/>
        <w:ind w:start="31" w:end="93"/>
        <w:rPr>
          <w:color w:val="151515"/>
        </w:rPr>
      </w:pPr>
      <w:r>
        <w:rPr>
          <w:color w:val="151515"/>
        </w:rPr>
        <w:t>Training was limited to 150 epochs. Early stopping was permitted only after 100 epochs; it was monitored based on the foreground Dice coefficient on the internal tuning set—calculated using an exponential moving average—and required an improvement of at least 0.002 with a patience parameter of 15. The checkpoint achieving the best result on the internal tuning set was used for outer-fold inference. Run #30 was initiated on a T4 GPU and continued on an A40 GPU using a checksum-verified checkpoint; both execution stages were recorded in the archive.</w:t>
      </w:r>
    </w:p>
    <w:p>
      <w:pPr>
        <w:pStyle w:val="BodyText"/>
        <w:spacing w:before="96" w:after="0"/>
        <w:ind w:start="0"/>
        <w:jc w:val="start"/>
        <w:rPr/>
      </w:pPr>
      <w:r>
        <w:rPr/>
      </w:r>
    </w:p>
    <w:p>
      <w:pPr>
        <w:pStyle w:val="ListParagraph"/>
        <w:numPr>
          <w:ilvl w:val="1"/>
          <w:numId w:val="3"/>
        </w:numPr>
        <w:outlineLvl w:val="1"/>
        <w:rPr>
          <w:b/>
        </w:rPr>
      </w:pPr>
      <w:bookmarkStart w:id="9" w:name="2.7_Artifact_integrity_and_reproducibili"/>
      <w:bookmarkEnd w:id="9"/>
      <w:r>
        <w:rPr>
          <w:b/>
        </w:rPr>
        <w:t>Artifact integrity and reproducibility</w:t>
      </w:r>
    </w:p>
    <w:p>
      <w:pPr>
        <w:pStyle w:val="BodyText"/>
        <w:spacing w:lineRule="auto" w:line="302"/>
        <w:ind w:start="31" w:end="94"/>
        <w:rPr>
          <w:color w:val="151515"/>
        </w:rPr>
      </w:pPr>
      <w:r>
        <w:rPr>
          <w:color w:val="151515"/>
        </w:rPr>
        <w:t>To accept a run for evaluation, the following were required: a selected checkpoint; training history or convergence data; configuration details; the software and hardware environment; a fixed patient split; metrics for each case and patient; a single hard-label NIfTI prediction for each expected outer-test case; performance telemetry; metric definitions; an artifact manifest; and checksums for all components. The organizer rejected results due to incorrect identifiers, split hashes, or object counts; missing predictions or checkpoints; checksum mismatches; or incomplete preflight data.</w:t>
      </w:r>
    </w:p>
    <w:p>
      <w:pPr>
        <w:pStyle w:val="BodyText"/>
        <w:spacing w:lineRule="auto" w:line="302"/>
        <w:ind w:start="31" w:end="94"/>
        <w:rPr>
          <w:color w:val="151515"/>
        </w:rPr>
      </w:pPr>
      <w:r>
        <w:rPr>
          <w:color w:val="151515"/>
        </w:rPr>
      </w:r>
    </w:p>
    <w:p>
      <w:pPr>
        <w:pStyle w:val="BodyText"/>
        <w:spacing w:lineRule="auto" w:line="302"/>
        <w:ind w:start="31" w:end="94"/>
        <w:rPr>
          <w:color w:val="151515"/>
        </w:rPr>
      </w:pPr>
      <w:r>
        <w:rPr>
          <w:color w:val="151515"/>
        </w:rPr>
        <w:t>The final matrix contains 4,160 predictions: 2,970 from 25 main folds and 1,190 from ten runs assessing sensitivity to the initial random state (seed). The analysis script reads metrics directly from the validated archives and records the SHA-256 identifier for each input archive.</w:t>
      </w:r>
    </w:p>
    <w:p>
      <w:pPr>
        <w:pStyle w:val="BodyText"/>
        <w:spacing w:before="97" w:after="0"/>
        <w:ind w:start="0"/>
        <w:jc w:val="start"/>
        <w:rPr/>
      </w:pPr>
      <w:r>
        <w:rPr/>
      </w:r>
    </w:p>
    <w:p>
      <w:pPr>
        <w:pStyle w:val="ListParagraph"/>
        <w:numPr>
          <w:ilvl w:val="1"/>
          <w:numId w:val="3"/>
        </w:numPr>
        <w:outlineLvl w:val="1"/>
        <w:rPr>
          <w:b/>
        </w:rPr>
      </w:pPr>
      <w:bookmarkStart w:id="10" w:name="2.8_Outcomes_and_metric_definitions"/>
      <w:bookmarkEnd w:id="10"/>
      <w:r>
        <w:rPr>
          <w:b/>
        </w:rPr>
        <w:t>Outcomes and metric definitions</w:t>
      </w:r>
    </w:p>
    <w:p>
      <w:pPr>
        <w:pStyle w:val="BodyText"/>
        <w:spacing w:lineRule="auto" w:line="302" w:before="128" w:after="0"/>
        <w:ind w:start="31" w:end="93"/>
        <w:rPr>
          <w:color w:val="151515"/>
        </w:rPr>
      </w:pPr>
      <w:r>
        <w:rPr>
          <w:color w:val="151515"/>
        </w:rPr>
        <w:t>The primary outcome was the average Dice coefficient across time points for each patient, calculated for the combined tumor region (tumor-related union) at outer-test time points where reference annotations were available. Two of the 594 time points had no labels 1–3; however, each patient had at least one time point with a reference annotation of the combined tumor region, so all 203 patients were included in the primary analysis.</w:t>
      </w:r>
    </w:p>
    <w:p>
      <w:pPr>
        <w:pStyle w:val="BodyText"/>
        <w:spacing w:lineRule="auto" w:line="302" w:before="130" w:after="0"/>
        <w:ind w:start="31" w:end="95"/>
        <w:rPr>
          <w:color w:val="151515"/>
        </w:rPr>
      </w:pPr>
      <w:r>
        <w:rPr>
          <w:color w:val="151515"/>
        </w:rPr>
        <w:t>Secondary outcomes included the Dice coefficient for each class and for all regions combined, Intersection over Union (IoU), precision, recall, the 95th percentile of the Hausdorff distance (HD95) in millimeters, the mean surface distance in millimeters, the surface Dice coefficient at a 1 mm threshold, and lesion sensitivity based on 26-connectivity. Summary overlap metrics were calculated only for scans with reference annotations. For each patient, pixel-wise IoU, precision, and recall were aggregated across all relevant scans; Dice coefficients and surface Dice coefficients for individual scans were averaged, while HD95 values ​​were summarized using the median. When subsequently generating summary metrics for the models, each patient was assigned equal weight. Calculating HD95 and mean surface distance required both a non-empty reference annotation and a non-empty prediction; the number of undefined values ​​was recorded. The surface Dice coefficient was set to zero if a reference region was present but the prediction was empty.</w:t>
      </w:r>
    </w:p>
    <w:p>
      <w:pPr>
        <w:pStyle w:val="BodyText"/>
        <w:spacing w:lineRule="auto" w:line="302" w:before="130" w:after="0"/>
        <w:ind w:start="31" w:end="95"/>
        <w:rPr>
          <w:color w:val="151515"/>
        </w:rPr>
      </w:pPr>
      <w:r>
        <w:rPr>
          <w:color w:val="151515"/>
        </w:rPr>
        <w:t>A reference lesion was considered detected if at least one predicted voxel overlapped with its 26-connected component. A predicted component that did not overlap with the reference annotation was classified as a false-positive lesion. In cases where no reference lesion was present, a scan containing at least one predicted voxel within the target region was classified as a false positive. Denominators at the scan and patient levels, Wilson 95% confidence intervals, predicted region volume, and the number of false-positive lesions were reported separately; scans lacking a reference lesion were never included in the summary overlap metrics calculated for scans containing reference annotations.</w:t>
      </w:r>
    </w:p>
    <w:p>
      <w:pPr>
        <w:pStyle w:val="BodyText"/>
        <w:spacing w:lineRule="auto" w:line="302" w:before="130" w:after="0"/>
        <w:ind w:start="31" w:end="95"/>
        <w:rPr>
          <w:color w:val="151515"/>
        </w:rPr>
      </w:pPr>
      <w:r>
        <w:rPr>
          <w:color w:val="151515"/>
        </w:rPr>
      </w:r>
    </w:p>
    <w:p>
      <w:pPr>
        <w:pStyle w:val="ListParagraph"/>
        <w:numPr>
          <w:ilvl w:val="1"/>
          <w:numId w:val="3"/>
        </w:numPr>
        <w:outlineLvl w:val="1"/>
        <w:rPr>
          <w:b/>
        </w:rPr>
      </w:pPr>
      <w:bookmarkStart w:id="11" w:name="2.9_Statistical_analysis"/>
      <w:bookmarkEnd w:id="11"/>
      <w:r>
        <w:rPr>
          <w:b/>
        </w:rPr>
        <w:t>Statistical analysis</w:t>
      </w:r>
    </w:p>
    <w:p>
      <w:pPr>
        <w:pStyle w:val="BodyText"/>
        <w:spacing w:lineRule="auto" w:line="302" w:before="99" w:after="0"/>
        <w:ind w:start="31" w:end="94"/>
        <w:rPr>
          <w:color w:val="151515"/>
        </w:rPr>
      </w:pPr>
      <w:r>
        <w:rPr>
          <w:color w:val="151515"/>
        </w:rPr>
        <w:t>The five validated outer folds were pooled by architecture, yielding a single out-of-fold metric per patient for each model. For patient-level averages (weighted equally), 95% percentile confidence intervals (CIs) were calculated based on 100,000 bootstrap samples of patients using a seed of 2026. Four controlled Keras architectures were initially compared using a two-sided Friedman test at a significance level of α = 0.05. As the gatekeeping test was statistically significant, Residual U-Net, V-Net, and U-Net++ were individually compared against 3D U-Net using a two-sided Wilcoxon signed-rank test, with zero differences handled via the Pratt method and p-values ​​adjusted using the Holm method. Median pairwise differences at the patient level, bootstrap 95% CIs for the median difference, and rank-biserial correlations for paired samples were reported.</w:t>
      </w:r>
    </w:p>
    <w:p>
      <w:pPr>
        <w:pStyle w:val="BodyText"/>
        <w:spacing w:lineRule="auto" w:line="302" w:before="130" w:after="0"/>
        <w:ind w:start="31" w:end="103"/>
        <w:rPr>
          <w:color w:val="151515"/>
        </w:rPr>
      </w:pPr>
      <w:r>
        <w:rPr>
          <w:color w:val="151515"/>
        </w:rPr>
        <w:t>Separately, and in accordance with a pre-defined plan, the complete nnU-Net and Residual U-Net pipelines were compared, independently of the observed rankings of the Keras models. This comparison utilized the same pairwise metrics and a separately designated Wilcoxon test, which was excluded from the family of comparisons adjusted via the Holm method for the Keras models. The secondary confidence intervals are exploratory in nature and were not adjusted for multiple comparisons.</w:t>
      </w:r>
    </w:p>
    <w:p>
      <w:pPr>
        <w:pStyle w:val="BodyText"/>
        <w:spacing w:lineRule="auto" w:line="302" w:before="130" w:after="0"/>
        <w:ind w:start="31" w:end="103"/>
        <w:rPr>
          <w:color w:val="151515"/>
        </w:rPr>
      </w:pPr>
      <w:r>
        <w:rPr>
          <w:color w:val="151515"/>
        </w:rPr>
        <w:t>A prior study involving 41 patients from the held-out development sample was conducted before amendments were made to this protocol. Therefore, we repeated the primary descriptive and pairwise analyses using an additional sample of 162 patients. The values ​​at the individual fold level were descriptive in nature; the five folds were not treated as a sample for statistical inference. Sensitivity to the initial state (seed) for fold 1 was assessed based on changes in patient metrics and the variability of the three mean values ​​at the seed level.</w:t>
      </w:r>
    </w:p>
    <w:p>
      <w:pPr>
        <w:pStyle w:val="BodyText"/>
        <w:spacing w:lineRule="auto" w:line="302" w:before="130" w:after="0"/>
        <w:ind w:start="31" w:end="103"/>
        <w:rPr>
          <w:color w:val="151515"/>
        </w:rPr>
      </w:pPr>
      <w:r>
        <w:rPr>
          <w:color w:val="151515"/>
        </w:rPr>
        <w:t>Python 3.11.16, NumPy 2.4.6, pandas 3.0.5, and SciPy 1.17.1 were used for the analysis. Matplotlib 3.11.1 and NiBabel 5.4.2 were used to generate the figures. All numerical results are provided in machine-readable CSV and JSON files.</w:t>
      </w:r>
    </w:p>
    <w:p>
      <w:pPr>
        <w:pStyle w:val="BodyText"/>
        <w:spacing w:before="47" w:after="0"/>
        <w:ind w:start="0"/>
        <w:jc w:val="start"/>
        <w:rPr/>
      </w:pPr>
      <w:r>
        <w:rPr/>
      </w:r>
    </w:p>
    <w:p>
      <w:pPr>
        <w:pStyle w:val="ListParagraph"/>
        <w:numPr>
          <w:ilvl w:val="0"/>
          <w:numId w:val="3"/>
        </w:numPr>
        <w:outlineLvl w:val="0"/>
        <w:rPr>
          <w:b/>
        </w:rPr>
      </w:pPr>
      <w:bookmarkStart w:id="12" w:name="3._Results"/>
      <w:bookmarkEnd w:id="12"/>
      <w:r>
        <w:rPr>
          <w:b/>
        </w:rPr>
        <w:t>Results</w:t>
      </w:r>
    </w:p>
    <w:p>
      <w:pPr>
        <w:pStyle w:val="BodyText"/>
        <w:spacing w:before="71" w:after="0"/>
        <w:ind w:start="0"/>
        <w:jc w:val="start"/>
        <w:rPr>
          <w:rFonts w:ascii="Arial" w:hAnsi="Arial"/>
          <w:b/>
          <w:sz w:val="28"/>
        </w:rPr>
      </w:pPr>
      <w:r>
        <w:rPr>
          <w:rFonts w:ascii="Arial" w:hAnsi="Arial"/>
          <w:b/>
          <w:sz w:val="28"/>
        </w:rPr>
      </w:r>
    </w:p>
    <w:p>
      <w:pPr>
        <w:pStyle w:val="ListParagraph"/>
        <w:numPr>
          <w:ilvl w:val="1"/>
          <w:numId w:val="3"/>
        </w:numPr>
        <w:outlineLvl w:val="1"/>
        <w:rPr>
          <w:b/>
        </w:rPr>
      </w:pPr>
      <w:bookmarkStart w:id="13" w:name="3.1_Completion_and_integrity"/>
      <w:bookmarkEnd w:id="13"/>
      <w:r>
        <w:rPr>
          <w:b/>
        </w:rPr>
        <w:t>Completion and integrity</w:t>
      </w:r>
    </w:p>
    <w:p>
      <w:pPr>
        <w:pStyle w:val="BodyText"/>
        <w:spacing w:lineRule="auto" w:line="302"/>
        <w:ind w:start="31" w:end="103"/>
        <w:rPr>
          <w:color w:val="151515"/>
        </w:rPr>
      </w:pPr>
      <w:r>
        <w:rPr>
          <w:color w:val="151515"/>
        </w:rPr>
        <w:t>All 35 planned runs were completed, and each archive passed verification in accordance with the established validation protocol. No predictions on the outer test set were missing or recovered via imputation. All 20 primary Keras runs concluded according to the pre-set early stopping rule after 34–68 epochs. Four of the five primary nnU-Net runs concluded after 100–144 epochs; one run reached the established limit of 150 epochs. Across all seven nnU-Net runs, the second replicate—using a different random seed—also reached the 150-epoch limit. No runs were excluded from the analysis.</w:t>
      </w:r>
    </w:p>
    <w:p>
      <w:pPr>
        <w:pStyle w:val="BodyText"/>
        <w:ind w:start="0"/>
        <w:jc w:val="start"/>
        <w:rPr/>
      </w:pPr>
      <w:r>
        <w:rPr/>
      </w:r>
    </w:p>
    <w:p>
      <w:pPr>
        <w:pStyle w:val="ListParagraph"/>
        <w:numPr>
          <w:ilvl w:val="1"/>
          <w:numId w:val="3"/>
        </w:numPr>
        <w:outlineLvl w:val="1"/>
        <w:rPr>
          <w:b/>
        </w:rPr>
      </w:pPr>
      <w:bookmarkStart w:id="14" w:name="3.2_Primary_controlled_comparison"/>
      <w:bookmarkEnd w:id="14"/>
      <w:r>
        <w:rPr>
          <w:b/>
        </w:rPr>
        <w:t>Primary controlled comparison</w:t>
      </w:r>
    </w:p>
    <w:p>
      <w:pPr>
        <w:pStyle w:val="BodyText"/>
        <w:spacing w:lineRule="auto" w:line="302" w:before="99" w:after="0"/>
        <w:ind w:start="31" w:end="97"/>
        <w:rPr>
          <w:color w:val="151515"/>
        </w:rPr>
      </w:pPr>
      <w:r>
        <w:rPr>
          <w:color w:val="151515"/>
        </w:rPr>
        <w:t>The four controlled Keras models exhibited generally overlapping distributions of patient-level metrics (Table 3 and Figure 2A). The highest mean value in this group was obtained for Residual U-Net (0.785), followed by V-Net (0.781), 3D U-Net (0.774), and U-Net++ (0.761). The Friedman test, used to preliminarily assess differences, rejected the hypothesis of equal rank distributions (χ²[3] = 47.29; P = 3.01 × 10⁻¹⁰).</w:t>
      </w:r>
    </w:p>
    <w:p>
      <w:pPr>
        <w:pStyle w:val="Normal"/>
        <w:spacing w:before="203" w:after="0"/>
        <w:ind w:start="31"/>
        <w:jc w:val="both"/>
        <w:rPr>
          <w:rFonts w:ascii="Arial MT" w:hAnsi="Arial MT"/>
          <w:sz w:val="17"/>
        </w:rPr>
      </w:pPr>
      <w:r>
        <w:rPr>
          <w:rFonts w:ascii="Arial MT" w:hAnsi="Arial MT"/>
          <w:color w:val="151515"/>
          <w:spacing w:val="-2"/>
          <w:w w:val="105"/>
          <w:sz w:val="17"/>
        </w:rPr>
        <w:t>Table 3.</w:t>
      </w:r>
      <w:r>
        <w:rPr>
          <w:rFonts w:ascii="Arial MT" w:hAnsi="Arial MT"/>
          <w:color w:val="151515"/>
          <w:spacing w:val="-3"/>
          <w:w w:val="105"/>
          <w:sz w:val="17"/>
        </w:rPr>
        <w:t xml:space="preserve"> Primary Dice score for the combined tumor region on out-of-fold data, with equal weight for each patient</w:t>
      </w:r>
    </w:p>
    <w:p>
      <w:pPr>
        <w:pStyle w:val="BodyText"/>
        <w:spacing w:before="0" w:after="0"/>
        <w:ind w:start="0"/>
        <w:jc w:val="start"/>
        <w:rPr>
          <w:rFonts w:ascii="Arial MT" w:hAnsi="Arial MT"/>
          <w:sz w:val="11"/>
        </w:rPr>
      </w:pPr>
      <w:r>
        <w:rPr>
          <w:rFonts w:ascii="Arial MT" w:hAnsi="Arial MT"/>
          <w:sz w:val="11"/>
        </w:rPr>
      </w:r>
    </w:p>
    <w:tbl>
      <w:tblPr>
        <w:tblW w:w="9666"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1905"/>
        <w:gridCol w:w="1653"/>
        <w:gridCol w:w="2698"/>
        <w:gridCol w:w="3410"/>
      </w:tblGrid>
      <w:tr>
        <w:trPr>
          <w:trHeight w:val="282" w:hRule="atLeast"/>
        </w:trPr>
        <w:tc>
          <w:tcPr>
            <w:tcW w:w="1905" w:type="dxa"/>
            <w:tcBorders/>
            <w:shd w:color="auto" w:fill="EDF0F4" w:val="clear"/>
          </w:tcPr>
          <w:p>
            <w:pPr>
              <w:pStyle w:val="TableParagraph"/>
              <w:spacing w:before="43" w:after="0"/>
              <w:rPr>
                <w:rFonts w:ascii="Arial" w:hAnsi="Arial"/>
                <w:b/>
                <w:sz w:val="16"/>
              </w:rPr>
            </w:pPr>
            <w:r>
              <w:rPr>
                <w:rFonts w:ascii="Arial" w:hAnsi="Arial"/>
                <w:b/>
                <w:color w:val="151515"/>
                <w:spacing w:val="-2"/>
                <w:sz w:val="16"/>
              </w:rPr>
              <w:t>Model</w:t>
            </w:r>
          </w:p>
        </w:tc>
        <w:tc>
          <w:tcPr>
            <w:tcW w:w="1653" w:type="dxa"/>
            <w:tcBorders/>
            <w:shd w:color="auto" w:fill="EDF0F4" w:val="clear"/>
          </w:tcPr>
          <w:p>
            <w:pPr>
              <w:pStyle w:val="TableParagraph"/>
              <w:spacing w:before="43" w:after="0"/>
              <w:ind w:start="763"/>
              <w:rPr>
                <w:rFonts w:ascii="Arial" w:hAnsi="Arial"/>
                <w:b/>
                <w:sz w:val="16"/>
              </w:rPr>
            </w:pPr>
            <w:r>
              <w:rPr>
                <w:rFonts w:ascii="Arial" w:hAnsi="Arial"/>
                <w:b/>
                <w:color w:val="151515"/>
                <w:spacing w:val="-2"/>
                <w:sz w:val="16"/>
              </w:rPr>
              <w:t>Patients</w:t>
            </w:r>
          </w:p>
        </w:tc>
        <w:tc>
          <w:tcPr>
            <w:tcW w:w="2698" w:type="dxa"/>
            <w:tcBorders/>
            <w:shd w:color="auto" w:fill="EDF0F4" w:val="clear"/>
          </w:tcPr>
          <w:p>
            <w:pPr>
              <w:pStyle w:val="TableParagraph"/>
              <w:spacing w:before="43" w:after="0"/>
              <w:ind w:start="270"/>
              <w:rPr>
                <w:rFonts w:ascii="Arial" w:hAnsi="Arial"/>
                <w:b/>
                <w:sz w:val="16"/>
              </w:rPr>
            </w:pPr>
            <w:r>
              <w:rPr>
                <w:rFonts w:ascii="Arial" w:hAnsi="Arial"/>
                <w:b/>
                <w:color w:val="151515"/>
                <w:sz w:val="16"/>
              </w:rPr>
              <w:t>Mean</w:t>
            </w:r>
            <w:r>
              <w:rPr>
                <w:rFonts w:ascii="Arial" w:hAnsi="Arial"/>
                <w:b/>
                <w:color w:val="151515"/>
                <w:spacing w:val="-5"/>
                <w:sz w:val="16"/>
              </w:rPr>
              <w:t xml:space="preserve"> </w:t>
            </w:r>
            <w:r>
              <w:rPr>
                <w:rFonts w:ascii="Arial" w:hAnsi="Arial"/>
                <w:b/>
                <w:color w:val="151515"/>
                <w:sz w:val="16"/>
              </w:rPr>
              <w:t>(bootstrap</w:t>
            </w:r>
            <w:r>
              <w:rPr>
                <w:rFonts w:ascii="Arial" w:hAnsi="Arial"/>
                <w:b/>
                <w:color w:val="151515"/>
                <w:spacing w:val="-4"/>
                <w:sz w:val="16"/>
              </w:rPr>
              <w:t xml:space="preserve"> </w:t>
            </w:r>
            <w:r>
              <w:rPr>
                <w:rFonts w:ascii="Arial" w:hAnsi="Arial"/>
                <w:b/>
                <w:color w:val="151515"/>
                <w:sz w:val="16"/>
              </w:rPr>
              <w:t>95%</w:t>
            </w:r>
            <w:r>
              <w:rPr>
                <w:rFonts w:ascii="Arial" w:hAnsi="Arial"/>
                <w:b/>
                <w:color w:val="151515"/>
                <w:spacing w:val="-3"/>
                <w:sz w:val="16"/>
              </w:rPr>
              <w:t xml:space="preserve"> </w:t>
            </w:r>
            <w:r>
              <w:rPr>
                <w:rFonts w:ascii="Arial" w:hAnsi="Arial"/>
                <w:b/>
                <w:color w:val="151515"/>
                <w:spacing w:val="-5"/>
                <w:sz w:val="16"/>
              </w:rPr>
              <w:t>CI)</w:t>
            </w:r>
          </w:p>
        </w:tc>
        <w:tc>
          <w:tcPr>
            <w:tcW w:w="3410" w:type="dxa"/>
            <w:tcBorders/>
            <w:shd w:color="auto" w:fill="EDF0F4" w:val="clear"/>
          </w:tcPr>
          <w:p>
            <w:pPr>
              <w:pStyle w:val="TableParagraph"/>
              <w:spacing w:before="43" w:after="0"/>
              <w:ind w:start="567"/>
              <w:rPr>
                <w:rFonts w:ascii="Arial" w:hAnsi="Arial"/>
                <w:b/>
                <w:sz w:val="16"/>
              </w:rPr>
            </w:pPr>
            <w:r>
              <w:rPr>
                <w:rFonts w:ascii="Arial" w:hAnsi="Arial"/>
                <w:b/>
                <w:color w:val="151515"/>
                <w:sz w:val="16"/>
              </w:rPr>
              <w:t>Median</w:t>
            </w:r>
            <w:r>
              <w:rPr>
                <w:rFonts w:ascii="Arial" w:hAnsi="Arial"/>
                <w:b/>
                <w:color w:val="151515"/>
                <w:spacing w:val="-5"/>
                <w:sz w:val="16"/>
              </w:rPr>
              <w:t xml:space="preserve"> </w:t>
            </w:r>
            <w:r>
              <w:rPr>
                <w:rFonts w:ascii="Arial" w:hAnsi="Arial"/>
                <w:b/>
                <w:color w:val="151515"/>
                <w:spacing w:val="-2"/>
                <w:sz w:val="16"/>
              </w:rPr>
              <w:t>(IQR)</w:t>
            </w:r>
          </w:p>
        </w:tc>
      </w:tr>
      <w:tr>
        <w:trPr>
          <w:trHeight w:val="280" w:hRule="atLeast"/>
        </w:trPr>
        <w:tc>
          <w:tcPr>
            <w:tcW w:w="1905" w:type="dxa"/>
            <w:tcBorders/>
          </w:tcPr>
          <w:p>
            <w:pPr>
              <w:pStyle w:val="TableParagraph"/>
              <w:spacing w:before="44" w:after="0"/>
              <w:rPr>
                <w:sz w:val="16"/>
              </w:rPr>
            </w:pPr>
            <w:r>
              <w:rPr>
                <w:color w:val="151515"/>
                <w:sz w:val="16"/>
              </w:rPr>
              <w:t>3D</w:t>
            </w:r>
            <w:r>
              <w:rPr>
                <w:color w:val="151515"/>
                <w:spacing w:val="-5"/>
                <w:sz w:val="16"/>
              </w:rPr>
              <w:t xml:space="preserve"> </w:t>
            </w:r>
            <w:r>
              <w:rPr>
                <w:color w:val="151515"/>
                <w:sz w:val="16"/>
              </w:rPr>
              <w:t>U-</w:t>
            </w:r>
            <w:r>
              <w:rPr>
                <w:color w:val="151515"/>
                <w:spacing w:val="-5"/>
                <w:sz w:val="16"/>
              </w:rPr>
              <w:t>Net</w:t>
            </w:r>
          </w:p>
        </w:tc>
        <w:tc>
          <w:tcPr>
            <w:tcW w:w="1653" w:type="dxa"/>
            <w:tcBorders/>
          </w:tcPr>
          <w:p>
            <w:pPr>
              <w:pStyle w:val="TableParagraph"/>
              <w:spacing w:before="44" w:after="0"/>
              <w:ind w:start="763"/>
              <w:rPr>
                <w:sz w:val="16"/>
              </w:rPr>
            </w:pPr>
            <w:r>
              <w:rPr>
                <w:color w:val="151515"/>
                <w:spacing w:val="-5"/>
                <w:sz w:val="16"/>
              </w:rPr>
              <w:t>203</w:t>
            </w:r>
          </w:p>
        </w:tc>
        <w:tc>
          <w:tcPr>
            <w:tcW w:w="2698" w:type="dxa"/>
            <w:tcBorders/>
          </w:tcPr>
          <w:p>
            <w:pPr>
              <w:pStyle w:val="TableParagraph"/>
              <w:spacing w:before="44" w:after="0"/>
              <w:ind w:start="270"/>
              <w:rPr>
                <w:sz w:val="16"/>
              </w:rPr>
            </w:pPr>
            <w:r>
              <w:rPr>
                <w:color w:val="151515"/>
                <w:sz w:val="16"/>
              </w:rPr>
              <w:t>0.774</w:t>
            </w:r>
            <w:r>
              <w:rPr>
                <w:color w:val="151515"/>
                <w:spacing w:val="-10"/>
                <w:sz w:val="16"/>
              </w:rPr>
              <w:t xml:space="preserve"> </w:t>
            </w:r>
            <w:r>
              <w:rPr>
                <w:color w:val="151515"/>
                <w:sz w:val="16"/>
              </w:rPr>
              <w:t>(0.748–</w:t>
            </w:r>
            <w:r>
              <w:rPr>
                <w:color w:val="151515"/>
                <w:spacing w:val="-2"/>
                <w:sz w:val="16"/>
              </w:rPr>
              <w:t>0.799)</w:t>
            </w:r>
          </w:p>
        </w:tc>
        <w:tc>
          <w:tcPr>
            <w:tcW w:w="3410" w:type="dxa"/>
            <w:tcBorders/>
          </w:tcPr>
          <w:p>
            <w:pPr>
              <w:pStyle w:val="TableParagraph"/>
              <w:spacing w:before="44" w:after="0"/>
              <w:ind w:start="567"/>
              <w:rPr>
                <w:sz w:val="16"/>
              </w:rPr>
            </w:pPr>
            <w:r>
              <w:rPr>
                <w:color w:val="151515"/>
                <w:sz w:val="16"/>
              </w:rPr>
              <w:t>0.833</w:t>
            </w:r>
            <w:r>
              <w:rPr>
                <w:color w:val="151515"/>
                <w:spacing w:val="-10"/>
                <w:sz w:val="16"/>
              </w:rPr>
              <w:t xml:space="preserve"> </w:t>
            </w:r>
            <w:r>
              <w:rPr>
                <w:color w:val="151515"/>
                <w:sz w:val="16"/>
              </w:rPr>
              <w:t>(0.733–</w:t>
            </w:r>
            <w:r>
              <w:rPr>
                <w:color w:val="151515"/>
                <w:spacing w:val="-2"/>
                <w:sz w:val="16"/>
              </w:rPr>
              <w:t>0.890)</w:t>
            </w:r>
          </w:p>
        </w:tc>
      </w:tr>
      <w:tr>
        <w:trPr>
          <w:trHeight w:val="283" w:hRule="atLeast"/>
        </w:trPr>
        <w:tc>
          <w:tcPr>
            <w:tcW w:w="1905" w:type="dxa"/>
            <w:tcBorders/>
          </w:tcPr>
          <w:p>
            <w:pPr>
              <w:pStyle w:val="TableParagraph"/>
              <w:spacing w:before="47" w:after="0"/>
              <w:rPr>
                <w:sz w:val="16"/>
              </w:rPr>
            </w:pPr>
            <w:r>
              <w:rPr>
                <w:color w:val="151515"/>
                <w:sz w:val="16"/>
              </w:rPr>
              <w:t>Residual</w:t>
            </w:r>
            <w:r>
              <w:rPr>
                <w:color w:val="151515"/>
                <w:spacing w:val="-9"/>
                <w:sz w:val="16"/>
              </w:rPr>
              <w:t xml:space="preserve"> </w:t>
            </w:r>
            <w:r>
              <w:rPr>
                <w:color w:val="151515"/>
                <w:sz w:val="16"/>
              </w:rPr>
              <w:t>U-</w:t>
            </w:r>
            <w:r>
              <w:rPr>
                <w:color w:val="151515"/>
                <w:spacing w:val="-5"/>
                <w:sz w:val="16"/>
              </w:rPr>
              <w:t>Net</w:t>
            </w:r>
          </w:p>
        </w:tc>
        <w:tc>
          <w:tcPr>
            <w:tcW w:w="1653" w:type="dxa"/>
            <w:tcBorders/>
          </w:tcPr>
          <w:p>
            <w:pPr>
              <w:pStyle w:val="TableParagraph"/>
              <w:spacing w:before="47" w:after="0"/>
              <w:ind w:start="763"/>
              <w:rPr>
                <w:sz w:val="16"/>
              </w:rPr>
            </w:pPr>
            <w:r>
              <w:rPr>
                <w:color w:val="151515"/>
                <w:spacing w:val="-5"/>
                <w:sz w:val="16"/>
              </w:rPr>
              <w:t>203</w:t>
            </w:r>
          </w:p>
        </w:tc>
        <w:tc>
          <w:tcPr>
            <w:tcW w:w="2698" w:type="dxa"/>
            <w:tcBorders/>
          </w:tcPr>
          <w:p>
            <w:pPr>
              <w:pStyle w:val="TableParagraph"/>
              <w:spacing w:before="47" w:after="0"/>
              <w:ind w:start="270"/>
              <w:rPr>
                <w:sz w:val="16"/>
              </w:rPr>
            </w:pPr>
            <w:r>
              <w:rPr>
                <w:color w:val="151515"/>
                <w:sz w:val="16"/>
              </w:rPr>
              <w:t>0.785</w:t>
            </w:r>
            <w:r>
              <w:rPr>
                <w:color w:val="151515"/>
                <w:spacing w:val="-10"/>
                <w:sz w:val="16"/>
              </w:rPr>
              <w:t xml:space="preserve"> </w:t>
            </w:r>
            <w:r>
              <w:rPr>
                <w:color w:val="151515"/>
                <w:sz w:val="16"/>
              </w:rPr>
              <w:t>(0.759–</w:t>
            </w:r>
            <w:r>
              <w:rPr>
                <w:color w:val="151515"/>
                <w:spacing w:val="-2"/>
                <w:sz w:val="16"/>
              </w:rPr>
              <w:t>0.808)</w:t>
            </w:r>
          </w:p>
        </w:tc>
        <w:tc>
          <w:tcPr>
            <w:tcW w:w="3410" w:type="dxa"/>
            <w:tcBorders/>
          </w:tcPr>
          <w:p>
            <w:pPr>
              <w:pStyle w:val="TableParagraph"/>
              <w:spacing w:before="47" w:after="0"/>
              <w:ind w:start="567"/>
              <w:rPr>
                <w:sz w:val="16"/>
              </w:rPr>
            </w:pPr>
            <w:r>
              <w:rPr>
                <w:color w:val="151515"/>
                <w:sz w:val="16"/>
              </w:rPr>
              <w:t>0.843</w:t>
            </w:r>
            <w:r>
              <w:rPr>
                <w:color w:val="151515"/>
                <w:spacing w:val="-10"/>
                <w:sz w:val="16"/>
              </w:rPr>
              <w:t xml:space="preserve"> </w:t>
            </w:r>
            <w:r>
              <w:rPr>
                <w:color w:val="151515"/>
                <w:sz w:val="16"/>
              </w:rPr>
              <w:t>(0.745–</w:t>
            </w:r>
            <w:r>
              <w:rPr>
                <w:color w:val="151515"/>
                <w:spacing w:val="-2"/>
                <w:sz w:val="16"/>
              </w:rPr>
              <w:t>0.896)</w:t>
            </w:r>
          </w:p>
        </w:tc>
      </w:tr>
      <w:tr>
        <w:trPr>
          <w:trHeight w:val="283" w:hRule="atLeast"/>
        </w:trPr>
        <w:tc>
          <w:tcPr>
            <w:tcW w:w="1905" w:type="dxa"/>
            <w:tcBorders/>
          </w:tcPr>
          <w:p>
            <w:pPr>
              <w:pStyle w:val="TableParagraph"/>
              <w:spacing w:before="47" w:after="0"/>
              <w:rPr>
                <w:sz w:val="16"/>
              </w:rPr>
            </w:pPr>
            <w:r>
              <w:rPr>
                <w:color w:val="151515"/>
                <w:spacing w:val="-2"/>
                <w:sz w:val="16"/>
              </w:rPr>
              <w:t>V-</w:t>
            </w:r>
            <w:r>
              <w:rPr>
                <w:color w:val="151515"/>
                <w:spacing w:val="-5"/>
                <w:sz w:val="16"/>
              </w:rPr>
              <w:t>Net</w:t>
            </w:r>
          </w:p>
        </w:tc>
        <w:tc>
          <w:tcPr>
            <w:tcW w:w="1653" w:type="dxa"/>
            <w:tcBorders/>
          </w:tcPr>
          <w:p>
            <w:pPr>
              <w:pStyle w:val="TableParagraph"/>
              <w:spacing w:before="47" w:after="0"/>
              <w:ind w:start="763"/>
              <w:rPr>
                <w:sz w:val="16"/>
              </w:rPr>
            </w:pPr>
            <w:r>
              <w:rPr>
                <w:color w:val="151515"/>
                <w:spacing w:val="-5"/>
                <w:sz w:val="16"/>
              </w:rPr>
              <w:t>203</w:t>
            </w:r>
          </w:p>
        </w:tc>
        <w:tc>
          <w:tcPr>
            <w:tcW w:w="2698" w:type="dxa"/>
            <w:tcBorders/>
          </w:tcPr>
          <w:p>
            <w:pPr>
              <w:pStyle w:val="TableParagraph"/>
              <w:spacing w:before="47" w:after="0"/>
              <w:ind w:start="270"/>
              <w:rPr>
                <w:sz w:val="16"/>
              </w:rPr>
            </w:pPr>
            <w:r>
              <w:rPr>
                <w:color w:val="151515"/>
                <w:sz w:val="16"/>
              </w:rPr>
              <w:t>0.781</w:t>
            </w:r>
            <w:r>
              <w:rPr>
                <w:color w:val="151515"/>
                <w:spacing w:val="-10"/>
                <w:sz w:val="16"/>
              </w:rPr>
              <w:t xml:space="preserve"> </w:t>
            </w:r>
            <w:r>
              <w:rPr>
                <w:color w:val="151515"/>
                <w:sz w:val="16"/>
              </w:rPr>
              <w:t>(0.755–</w:t>
            </w:r>
            <w:r>
              <w:rPr>
                <w:color w:val="151515"/>
                <w:spacing w:val="-2"/>
                <w:sz w:val="16"/>
              </w:rPr>
              <w:t>0.805)</w:t>
            </w:r>
          </w:p>
        </w:tc>
        <w:tc>
          <w:tcPr>
            <w:tcW w:w="3410" w:type="dxa"/>
            <w:tcBorders/>
          </w:tcPr>
          <w:p>
            <w:pPr>
              <w:pStyle w:val="TableParagraph"/>
              <w:spacing w:before="47" w:after="0"/>
              <w:ind w:start="567"/>
              <w:rPr>
                <w:sz w:val="16"/>
              </w:rPr>
            </w:pPr>
            <w:r>
              <w:rPr>
                <w:color w:val="151515"/>
                <w:sz w:val="16"/>
              </w:rPr>
              <w:t>0.844</w:t>
            </w:r>
            <w:r>
              <w:rPr>
                <w:color w:val="151515"/>
                <w:spacing w:val="-10"/>
                <w:sz w:val="16"/>
              </w:rPr>
              <w:t xml:space="preserve"> </w:t>
            </w:r>
            <w:r>
              <w:rPr>
                <w:color w:val="151515"/>
                <w:sz w:val="16"/>
              </w:rPr>
              <w:t>(0.729–</w:t>
            </w:r>
            <w:r>
              <w:rPr>
                <w:color w:val="151515"/>
                <w:spacing w:val="-2"/>
                <w:sz w:val="16"/>
              </w:rPr>
              <w:t>0.888)</w:t>
            </w:r>
          </w:p>
        </w:tc>
      </w:tr>
      <w:tr>
        <w:trPr>
          <w:trHeight w:val="284" w:hRule="atLeast"/>
        </w:trPr>
        <w:tc>
          <w:tcPr>
            <w:tcW w:w="1905" w:type="dxa"/>
            <w:tcBorders/>
          </w:tcPr>
          <w:p>
            <w:pPr>
              <w:pStyle w:val="TableParagraph"/>
              <w:spacing w:before="47" w:after="0"/>
              <w:rPr>
                <w:sz w:val="16"/>
              </w:rPr>
            </w:pPr>
            <w:r>
              <w:rPr>
                <w:color w:val="151515"/>
                <w:spacing w:val="-2"/>
                <w:sz w:val="16"/>
              </w:rPr>
              <w:t>U-Net++</w:t>
            </w:r>
          </w:p>
        </w:tc>
        <w:tc>
          <w:tcPr>
            <w:tcW w:w="1653" w:type="dxa"/>
            <w:tcBorders/>
          </w:tcPr>
          <w:p>
            <w:pPr>
              <w:pStyle w:val="TableParagraph"/>
              <w:spacing w:before="47" w:after="0"/>
              <w:ind w:start="763"/>
              <w:rPr>
                <w:sz w:val="16"/>
              </w:rPr>
            </w:pPr>
            <w:r>
              <w:rPr>
                <w:color w:val="151515"/>
                <w:spacing w:val="-5"/>
                <w:sz w:val="16"/>
              </w:rPr>
              <w:t>203</w:t>
            </w:r>
          </w:p>
        </w:tc>
        <w:tc>
          <w:tcPr>
            <w:tcW w:w="2698" w:type="dxa"/>
            <w:tcBorders/>
          </w:tcPr>
          <w:p>
            <w:pPr>
              <w:pStyle w:val="TableParagraph"/>
              <w:spacing w:before="47" w:after="0"/>
              <w:ind w:start="270"/>
              <w:rPr>
                <w:sz w:val="16"/>
              </w:rPr>
            </w:pPr>
            <w:r>
              <w:rPr>
                <w:color w:val="151515"/>
                <w:sz w:val="16"/>
              </w:rPr>
              <w:t>0.761</w:t>
            </w:r>
            <w:r>
              <w:rPr>
                <w:color w:val="151515"/>
                <w:spacing w:val="-10"/>
                <w:sz w:val="16"/>
              </w:rPr>
              <w:t xml:space="preserve"> </w:t>
            </w:r>
            <w:r>
              <w:rPr>
                <w:color w:val="151515"/>
                <w:sz w:val="16"/>
              </w:rPr>
              <w:t>(0.735–</w:t>
            </w:r>
            <w:r>
              <w:rPr>
                <w:color w:val="151515"/>
                <w:spacing w:val="-2"/>
                <w:sz w:val="16"/>
              </w:rPr>
              <w:t>0.786)</w:t>
            </w:r>
          </w:p>
        </w:tc>
        <w:tc>
          <w:tcPr>
            <w:tcW w:w="3410" w:type="dxa"/>
            <w:tcBorders/>
          </w:tcPr>
          <w:p>
            <w:pPr>
              <w:pStyle w:val="TableParagraph"/>
              <w:spacing w:before="47" w:after="0"/>
              <w:ind w:start="567"/>
              <w:rPr>
                <w:sz w:val="16"/>
              </w:rPr>
            </w:pPr>
            <w:r>
              <w:rPr>
                <w:color w:val="151515"/>
                <w:sz w:val="16"/>
              </w:rPr>
              <w:t>0.823</w:t>
            </w:r>
            <w:r>
              <w:rPr>
                <w:color w:val="151515"/>
                <w:spacing w:val="-10"/>
                <w:sz w:val="16"/>
              </w:rPr>
              <w:t xml:space="preserve"> </w:t>
            </w:r>
            <w:r>
              <w:rPr>
                <w:color w:val="151515"/>
                <w:sz w:val="16"/>
              </w:rPr>
              <w:t>(0.715–</w:t>
            </w:r>
            <w:r>
              <w:rPr>
                <w:color w:val="151515"/>
                <w:spacing w:val="-2"/>
                <w:sz w:val="16"/>
              </w:rPr>
              <w:t>0.888)</w:t>
            </w:r>
          </w:p>
        </w:tc>
      </w:tr>
      <w:tr>
        <w:trPr>
          <w:trHeight w:val="231" w:hRule="atLeast"/>
        </w:trPr>
        <w:tc>
          <w:tcPr>
            <w:tcW w:w="1905" w:type="dxa"/>
            <w:tcBorders/>
          </w:tcPr>
          <w:p>
            <w:pPr>
              <w:pStyle w:val="TableParagraph"/>
              <w:spacing w:lineRule="exact" w:line="164" w:before="47" w:after="0"/>
              <w:rPr>
                <w:sz w:val="16"/>
              </w:rPr>
            </w:pPr>
            <w:r>
              <w:rPr>
                <w:color w:val="151515"/>
                <w:spacing w:val="-2"/>
                <w:sz w:val="16"/>
              </w:rPr>
              <w:t>nnU-</w:t>
            </w:r>
            <w:r>
              <w:rPr>
                <w:color w:val="151515"/>
                <w:spacing w:val="-5"/>
                <w:sz w:val="16"/>
              </w:rPr>
              <w:t>Net</w:t>
            </w:r>
          </w:p>
        </w:tc>
        <w:tc>
          <w:tcPr>
            <w:tcW w:w="1653" w:type="dxa"/>
            <w:tcBorders/>
          </w:tcPr>
          <w:p>
            <w:pPr>
              <w:pStyle w:val="TableParagraph"/>
              <w:spacing w:lineRule="exact" w:line="164" w:before="47" w:after="0"/>
              <w:ind w:start="763"/>
              <w:rPr>
                <w:sz w:val="16"/>
              </w:rPr>
            </w:pPr>
            <w:r>
              <w:rPr>
                <w:color w:val="151515"/>
                <w:spacing w:val="-5"/>
                <w:sz w:val="16"/>
              </w:rPr>
              <w:t>203</w:t>
            </w:r>
          </w:p>
        </w:tc>
        <w:tc>
          <w:tcPr>
            <w:tcW w:w="2698" w:type="dxa"/>
            <w:tcBorders/>
          </w:tcPr>
          <w:p>
            <w:pPr>
              <w:pStyle w:val="TableParagraph"/>
              <w:spacing w:lineRule="exact" w:line="164" w:before="47" w:after="0"/>
              <w:ind w:start="270"/>
              <w:rPr>
                <w:sz w:val="16"/>
              </w:rPr>
            </w:pPr>
            <w:r>
              <w:rPr>
                <w:color w:val="151515"/>
                <w:sz w:val="16"/>
              </w:rPr>
              <w:t>0.879</w:t>
            </w:r>
            <w:r>
              <w:rPr>
                <w:color w:val="151515"/>
                <w:spacing w:val="-10"/>
                <w:sz w:val="16"/>
              </w:rPr>
              <w:t xml:space="preserve"> </w:t>
            </w:r>
            <w:r>
              <w:rPr>
                <w:color w:val="151515"/>
                <w:sz w:val="16"/>
              </w:rPr>
              <w:t>(0.856–</w:t>
            </w:r>
            <w:r>
              <w:rPr>
                <w:color w:val="151515"/>
                <w:spacing w:val="-2"/>
                <w:sz w:val="16"/>
              </w:rPr>
              <w:t>0.900)</w:t>
            </w:r>
          </w:p>
        </w:tc>
        <w:tc>
          <w:tcPr>
            <w:tcW w:w="3410" w:type="dxa"/>
            <w:tcBorders/>
          </w:tcPr>
          <w:p>
            <w:pPr>
              <w:pStyle w:val="TableParagraph"/>
              <w:spacing w:lineRule="exact" w:line="164" w:before="47" w:after="0"/>
              <w:ind w:start="567"/>
              <w:rPr>
                <w:sz w:val="16"/>
              </w:rPr>
            </w:pPr>
            <w:r>
              <w:rPr>
                <w:color w:val="151515"/>
                <w:sz w:val="16"/>
              </w:rPr>
              <w:t>0.936</w:t>
            </w:r>
            <w:r>
              <w:rPr>
                <w:color w:val="151515"/>
                <w:spacing w:val="-10"/>
                <w:sz w:val="16"/>
              </w:rPr>
              <w:t xml:space="preserve"> </w:t>
            </w:r>
            <w:r>
              <w:rPr>
                <w:color w:val="151515"/>
                <w:sz w:val="16"/>
              </w:rPr>
              <w:t>(0.887–</w:t>
            </w:r>
            <w:r>
              <w:rPr>
                <w:color w:val="151515"/>
                <w:spacing w:val="-2"/>
                <w:sz w:val="16"/>
              </w:rPr>
              <w:t>0.957)</w:t>
            </w:r>
          </w:p>
        </w:tc>
      </w:tr>
    </w:tbl>
    <w:p>
      <w:pPr>
        <w:pStyle w:val="TableParagraph"/>
        <w:spacing w:lineRule="exact" w:line="164"/>
        <w:rPr>
          <w:sz w:val="16"/>
        </w:rPr>
      </w:pPr>
      <w:r>
        <w:rPr>
          <w:sz w:val="16"/>
        </w:rPr>
      </w:r>
    </w:p>
    <w:p>
      <w:pPr>
        <w:pStyle w:val="Normal"/>
        <w:rPr/>
      </w:pPr>
      <w:r>
        <w:rPr/>
      </w:r>
    </w:p>
    <w:p>
      <w:pPr>
        <w:pStyle w:val="BodyText"/>
        <w:spacing w:lineRule="auto" w:line="302" w:before="140" w:after="0"/>
        <w:ind w:start="31" w:end="98"/>
        <w:rPr>
          <w:color w:val="151515"/>
        </w:rPr>
      </w:pPr>
      <w:r>
        <w:rPr>
          <w:color w:val="151515"/>
        </w:rPr>
        <w:t>Residual U-Net outperformed 3D U-Net in terms of the median pairwise Dice coefficient by 0.009 (95% bootstrap confidence interval [CI]: 0.005–0.012; Holm-adjusted P = 2.60 × 10⁻⁶). V-Net outperformed it by 0.006 (0.003–0.008; adjusted P = 7.79 × 10⁻⁴). For U-Net++, the median difference was −0.005 (−0.009 to 0.0002; adjusted P = 2.02 × 10⁻⁴). The bootstrap confidence interval for the median difference of U-Net++ slightly crosses zero, whereas the Wilcoxon signed-rank test remains statistically significant, as the confidence interval and the test relate to different distribution functionals. Therefore, both effect sizes and both statistical inference metrics are presented, without reducing the results to a single binary conclusion.</w:t>
      </w:r>
    </w:p>
    <w:p>
      <w:pPr>
        <w:pStyle w:val="Normal"/>
        <w:spacing w:before="205" w:after="0"/>
        <w:ind w:start="31"/>
        <w:rPr>
          <w:rFonts w:ascii="Arial MT" w:hAnsi="Arial MT"/>
          <w:sz w:val="17"/>
        </w:rPr>
      </w:pPr>
      <w:r>
        <w:rPr>
          <w:rFonts w:ascii="Arial MT" w:hAnsi="Arial MT"/>
          <w:color w:val="151515"/>
          <w:sz w:val="17"/>
        </w:rPr>
        <w:t>Table</w:t>
      </w:r>
      <w:r>
        <w:rPr>
          <w:rFonts w:ascii="Arial MT" w:hAnsi="Arial MT"/>
          <w:color w:val="151515"/>
          <w:spacing w:val="15"/>
          <w:sz w:val="17"/>
        </w:rPr>
        <w:t xml:space="preserve"> </w:t>
      </w:r>
      <w:r>
        <w:rPr>
          <w:rFonts w:ascii="Arial MT" w:hAnsi="Arial MT"/>
          <w:color w:val="151515"/>
          <w:sz w:val="17"/>
        </w:rPr>
        <w:t>4.</w:t>
      </w:r>
      <w:r>
        <w:rPr>
          <w:rFonts w:ascii="Arial MT" w:hAnsi="Arial MT"/>
          <w:color w:val="151515"/>
          <w:spacing w:val="13"/>
          <w:sz w:val="17"/>
        </w:rPr>
        <w:t xml:space="preserve"> </w:t>
      </w:r>
      <w:r>
        <w:rPr>
          <w:rFonts w:ascii="Arial MT" w:hAnsi="Arial MT"/>
          <w:color w:val="151515"/>
          <w:spacing w:val="-2"/>
          <w:sz w:val="17"/>
        </w:rPr>
        <w:t>Pre-specified pairwise comparisons of the primary endpoint at the patient level</w:t>
      </w:r>
    </w:p>
    <w:p>
      <w:pPr>
        <w:pStyle w:val="BodyText"/>
        <w:spacing w:before="11" w:after="0"/>
        <w:ind w:start="0"/>
        <w:jc w:val="start"/>
        <w:rPr>
          <w:rFonts w:ascii="Arial MT" w:hAnsi="Arial MT"/>
          <w:sz w:val="10"/>
        </w:rPr>
      </w:pPr>
      <w:r>
        <w:rPr>
          <w:rFonts w:ascii="Arial MT" w:hAnsi="Arial MT"/>
          <w:sz w:val="10"/>
        </w:rPr>
      </w:r>
    </w:p>
    <w:tbl>
      <w:tblPr>
        <w:tblW w:w="9667"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2032"/>
        <w:gridCol w:w="2386"/>
        <w:gridCol w:w="1139"/>
        <w:gridCol w:w="1169"/>
        <w:gridCol w:w="1245"/>
        <w:gridCol w:w="1696"/>
      </w:tblGrid>
      <w:tr>
        <w:trPr>
          <w:trHeight w:val="426" w:hRule="atLeast"/>
        </w:trPr>
        <w:tc>
          <w:tcPr>
            <w:tcW w:w="2032" w:type="dxa"/>
            <w:tcBorders/>
            <w:shd w:color="auto" w:fill="EDF0F4" w:val="clear"/>
          </w:tcPr>
          <w:p>
            <w:pPr>
              <w:pStyle w:val="TableParagraph"/>
              <w:spacing w:before="126" w:after="0"/>
              <w:rPr>
                <w:rFonts w:ascii="Arial" w:hAnsi="Arial"/>
                <w:b/>
                <w:sz w:val="14"/>
              </w:rPr>
            </w:pPr>
            <w:r>
              <w:rPr>
                <w:rFonts w:ascii="Arial" w:hAnsi="Arial"/>
                <w:b/>
                <w:color w:val="151515"/>
                <w:spacing w:val="-2"/>
                <w:sz w:val="14"/>
              </w:rPr>
              <w:t>Comparison</w:t>
            </w:r>
          </w:p>
        </w:tc>
        <w:tc>
          <w:tcPr>
            <w:tcW w:w="2386" w:type="dxa"/>
            <w:tcBorders/>
            <w:shd w:color="auto" w:fill="EDF0F4" w:val="clear"/>
          </w:tcPr>
          <w:p>
            <w:pPr>
              <w:pStyle w:val="TableParagraph"/>
              <w:spacing w:lineRule="auto" w:line="254" w:before="41" w:after="0"/>
              <w:ind w:start="249"/>
              <w:rPr>
                <w:rFonts w:ascii="Arial" w:hAnsi="Arial"/>
                <w:b/>
                <w:sz w:val="14"/>
              </w:rPr>
            </w:pPr>
            <w:r>
              <w:rPr>
                <w:rFonts w:ascii="Arial" w:hAnsi="Arial"/>
                <w:b/>
                <w:color w:val="151515"/>
                <w:spacing w:val="-2"/>
                <w:sz w:val="14"/>
              </w:rPr>
              <w:t>Median</w:t>
            </w:r>
            <w:r>
              <w:rPr>
                <w:rFonts w:ascii="Arial" w:hAnsi="Arial"/>
                <w:b/>
                <w:color w:val="151515"/>
                <w:spacing w:val="-8"/>
                <w:sz w:val="14"/>
              </w:rPr>
              <w:t xml:space="preserve"> </w:t>
            </w:r>
            <w:r>
              <w:rPr>
                <w:rFonts w:ascii="Arial" w:hAnsi="Arial"/>
                <w:b/>
                <w:color w:val="151515"/>
                <w:spacing w:val="-2"/>
                <w:sz w:val="14"/>
              </w:rPr>
              <w:t>Dice</w:t>
            </w:r>
            <w:r>
              <w:rPr>
                <w:rFonts w:ascii="Arial" w:hAnsi="Arial"/>
                <w:b/>
                <w:color w:val="151515"/>
                <w:spacing w:val="-7"/>
                <w:sz w:val="14"/>
              </w:rPr>
              <w:t xml:space="preserve"> </w:t>
            </w:r>
            <w:r>
              <w:rPr>
                <w:rFonts w:ascii="Arial" w:hAnsi="Arial"/>
                <w:b/>
                <w:color w:val="151515"/>
                <w:spacing w:val="-2"/>
                <w:sz w:val="14"/>
              </w:rPr>
              <w:t>difference</w:t>
            </w:r>
            <w:r>
              <w:rPr>
                <w:rFonts w:ascii="Arial" w:hAnsi="Arial"/>
                <w:b/>
                <w:color w:val="151515"/>
                <w:spacing w:val="-7"/>
                <w:sz w:val="14"/>
              </w:rPr>
              <w:t xml:space="preserve"> </w:t>
            </w:r>
            <w:r>
              <w:rPr>
                <w:rFonts w:ascii="Arial" w:hAnsi="Arial"/>
                <w:b/>
                <w:color w:val="151515"/>
                <w:spacing w:val="-2"/>
                <w:sz w:val="14"/>
              </w:rPr>
              <w:t>(95%</w:t>
            </w:r>
            <w:r>
              <w:rPr>
                <w:rFonts w:ascii="Arial" w:hAnsi="Arial"/>
                <w:b/>
                <w:color w:val="151515"/>
                <w:spacing w:val="40"/>
                <w:sz w:val="14"/>
              </w:rPr>
              <w:t xml:space="preserve"> </w:t>
            </w:r>
            <w:r>
              <w:rPr>
                <w:rFonts w:ascii="Arial" w:hAnsi="Arial"/>
                <w:b/>
                <w:color w:val="151515"/>
                <w:sz w:val="14"/>
              </w:rPr>
              <w:t>bootstrap</w:t>
            </w:r>
            <w:r>
              <w:rPr>
                <w:rFonts w:ascii="Arial" w:hAnsi="Arial"/>
                <w:b/>
                <w:color w:val="151515"/>
                <w:spacing w:val="-6"/>
                <w:sz w:val="14"/>
              </w:rPr>
              <w:t xml:space="preserve"> </w:t>
            </w:r>
            <w:r>
              <w:rPr>
                <w:rFonts w:ascii="Arial" w:hAnsi="Arial"/>
                <w:b/>
                <w:color w:val="151515"/>
                <w:sz w:val="14"/>
              </w:rPr>
              <w:t>CI)</w:t>
            </w:r>
          </w:p>
        </w:tc>
        <w:tc>
          <w:tcPr>
            <w:tcW w:w="1139" w:type="dxa"/>
            <w:tcBorders/>
            <w:shd w:color="auto" w:fill="EDF0F4" w:val="clear"/>
          </w:tcPr>
          <w:p>
            <w:pPr>
              <w:pStyle w:val="TableParagraph"/>
              <w:spacing w:lineRule="auto" w:line="254" w:before="41" w:after="0"/>
              <w:ind w:start="277" w:end="192"/>
              <w:rPr>
                <w:rFonts w:ascii="Arial" w:hAnsi="Arial"/>
                <w:b/>
                <w:sz w:val="14"/>
              </w:rPr>
            </w:pPr>
            <w:r>
              <w:rPr>
                <w:rFonts w:ascii="Arial" w:hAnsi="Arial"/>
                <w:b/>
                <w:color w:val="151515"/>
                <w:spacing w:val="-4"/>
                <w:sz w:val="14"/>
              </w:rPr>
              <w:t>Mean</w:t>
            </w:r>
            <w:r>
              <w:rPr>
                <w:rFonts w:ascii="Arial" w:hAnsi="Arial"/>
                <w:b/>
                <w:color w:val="151515"/>
                <w:spacing w:val="40"/>
                <w:sz w:val="14"/>
              </w:rPr>
              <w:t xml:space="preserve"> </w:t>
            </w:r>
            <w:r>
              <w:rPr>
                <w:rFonts w:ascii="Arial" w:hAnsi="Arial"/>
                <w:b/>
                <w:color w:val="151515"/>
                <w:spacing w:val="-2"/>
                <w:sz w:val="14"/>
              </w:rPr>
              <w:t>difference</w:t>
            </w:r>
          </w:p>
        </w:tc>
        <w:tc>
          <w:tcPr>
            <w:tcW w:w="1169" w:type="dxa"/>
            <w:tcBorders/>
            <w:shd w:color="auto" w:fill="EDF0F4" w:val="clear"/>
          </w:tcPr>
          <w:p>
            <w:pPr>
              <w:pStyle w:val="TableParagraph"/>
              <w:spacing w:before="126" w:after="0"/>
              <w:ind w:start="202"/>
              <w:rPr>
                <w:rFonts w:ascii="Arial" w:hAnsi="Arial"/>
                <w:b/>
                <w:sz w:val="14"/>
              </w:rPr>
            </w:pPr>
            <w:r>
              <w:rPr>
                <w:rFonts w:ascii="Arial" w:hAnsi="Arial"/>
                <w:b/>
                <w:color w:val="151515"/>
                <w:spacing w:val="-4"/>
                <w:sz w:val="14"/>
              </w:rPr>
              <w:t>Rank-</w:t>
            </w:r>
            <w:r>
              <w:rPr>
                <w:rFonts w:ascii="Arial" w:hAnsi="Arial"/>
                <w:b/>
                <w:color w:val="151515"/>
                <w:spacing w:val="-2"/>
                <w:sz w:val="14"/>
              </w:rPr>
              <w:t>biserial</w:t>
            </w:r>
          </w:p>
        </w:tc>
        <w:tc>
          <w:tcPr>
            <w:tcW w:w="1245" w:type="dxa"/>
            <w:tcBorders/>
            <w:shd w:color="auto" w:fill="EDF0F4" w:val="clear"/>
          </w:tcPr>
          <w:p>
            <w:pPr>
              <w:pStyle w:val="TableParagraph"/>
              <w:spacing w:before="126" w:after="0"/>
              <w:ind w:start="98"/>
              <w:rPr>
                <w:rFonts w:ascii="Arial" w:hAnsi="Arial"/>
                <w:b/>
                <w:sz w:val="14"/>
              </w:rPr>
            </w:pPr>
            <w:r>
              <w:rPr>
                <w:rFonts w:ascii="Arial" w:hAnsi="Arial"/>
                <w:b/>
                <w:color w:val="151515"/>
                <w:sz w:val="14"/>
              </w:rPr>
              <w:t>Raw</w:t>
            </w:r>
            <w:r>
              <w:rPr>
                <w:rFonts w:ascii="Arial" w:hAnsi="Arial"/>
                <w:b/>
                <w:color w:val="151515"/>
                <w:spacing w:val="-8"/>
                <w:sz w:val="14"/>
              </w:rPr>
              <w:t xml:space="preserve"> </w:t>
            </w:r>
            <w:r>
              <w:rPr>
                <w:rFonts w:ascii="Arial" w:hAnsi="Arial"/>
                <w:b/>
                <w:color w:val="151515"/>
                <w:spacing w:val="-10"/>
                <w:sz w:val="14"/>
              </w:rPr>
              <w:t>P</w:t>
            </w:r>
          </w:p>
        </w:tc>
        <w:tc>
          <w:tcPr>
            <w:tcW w:w="1696" w:type="dxa"/>
            <w:tcBorders/>
            <w:shd w:color="auto" w:fill="EDF0F4" w:val="clear"/>
          </w:tcPr>
          <w:p>
            <w:pPr>
              <w:pStyle w:val="TableParagraph"/>
              <w:spacing w:before="126" w:after="0"/>
              <w:ind w:start="303"/>
              <w:rPr>
                <w:rFonts w:ascii="Arial" w:hAnsi="Arial"/>
                <w:b/>
                <w:sz w:val="14"/>
              </w:rPr>
            </w:pPr>
            <w:r>
              <w:rPr>
                <w:rFonts w:ascii="Arial" w:hAnsi="Arial"/>
                <w:b/>
                <w:color w:val="151515"/>
                <w:spacing w:val="-2"/>
                <w:sz w:val="14"/>
              </w:rPr>
              <w:t xml:space="preserve">Holm-adjusted </w:t>
            </w:r>
            <w:r>
              <w:rPr>
                <w:rFonts w:ascii="Arial" w:hAnsi="Arial"/>
                <w:b/>
                <w:color w:val="151515"/>
                <w:spacing w:val="-10"/>
                <w:sz w:val="14"/>
              </w:rPr>
              <w:t>P</w:t>
            </w:r>
          </w:p>
        </w:tc>
      </w:tr>
      <w:tr>
        <w:trPr>
          <w:trHeight w:val="254" w:hRule="atLeast"/>
        </w:trPr>
        <w:tc>
          <w:tcPr>
            <w:tcW w:w="2032" w:type="dxa"/>
            <w:tcBorders/>
          </w:tcPr>
          <w:p>
            <w:pPr>
              <w:pStyle w:val="TableParagraph"/>
              <w:spacing w:before="42" w:after="0"/>
              <w:rPr>
                <w:sz w:val="14"/>
              </w:rPr>
            </w:pPr>
            <w:r>
              <w:rPr>
                <w:color w:val="151515"/>
                <w:sz w:val="14"/>
              </w:rPr>
              <w:t>Residual</w:t>
            </w:r>
            <w:r>
              <w:rPr>
                <w:color w:val="151515"/>
                <w:spacing w:val="-10"/>
                <w:sz w:val="14"/>
              </w:rPr>
              <w:t xml:space="preserve"> </w:t>
            </w:r>
            <w:r>
              <w:rPr>
                <w:color w:val="151515"/>
                <w:sz w:val="14"/>
              </w:rPr>
              <w:t>U-Net</w:t>
            </w:r>
            <w:r>
              <w:rPr>
                <w:color w:val="151515"/>
                <w:spacing w:val="-10"/>
                <w:sz w:val="14"/>
              </w:rPr>
              <w:t xml:space="preserve"> </w:t>
            </w:r>
            <w:r>
              <w:rPr>
                <w:color w:val="151515"/>
                <w:sz w:val="14"/>
              </w:rPr>
              <w:t>vs</w:t>
            </w:r>
            <w:r>
              <w:rPr>
                <w:color w:val="151515"/>
                <w:spacing w:val="-9"/>
                <w:sz w:val="14"/>
              </w:rPr>
              <w:t xml:space="preserve"> </w:t>
            </w:r>
            <w:r>
              <w:rPr>
                <w:color w:val="151515"/>
                <w:sz w:val="14"/>
              </w:rPr>
              <w:t>3D</w:t>
            </w:r>
            <w:r>
              <w:rPr>
                <w:color w:val="151515"/>
                <w:spacing w:val="-10"/>
                <w:sz w:val="14"/>
              </w:rPr>
              <w:t xml:space="preserve"> </w:t>
            </w:r>
            <w:r>
              <w:rPr>
                <w:color w:val="151515"/>
                <w:sz w:val="14"/>
              </w:rPr>
              <w:t>U-</w:t>
            </w:r>
            <w:r>
              <w:rPr>
                <w:color w:val="151515"/>
                <w:spacing w:val="-5"/>
                <w:sz w:val="14"/>
              </w:rPr>
              <w:t>Net</w:t>
            </w:r>
          </w:p>
        </w:tc>
        <w:tc>
          <w:tcPr>
            <w:tcW w:w="2386" w:type="dxa"/>
            <w:tcBorders/>
          </w:tcPr>
          <w:p>
            <w:pPr>
              <w:pStyle w:val="TableParagraph"/>
              <w:spacing w:before="42" w:after="0"/>
              <w:ind w:start="249"/>
              <w:rPr>
                <w:sz w:val="14"/>
              </w:rPr>
            </w:pPr>
            <w:r>
              <w:rPr>
                <w:color w:val="151515"/>
                <w:spacing w:val="-2"/>
                <w:sz w:val="14"/>
              </w:rPr>
              <w:t>0.009</w:t>
            </w:r>
            <w:r>
              <w:rPr>
                <w:color w:val="151515"/>
                <w:spacing w:val="1"/>
                <w:sz w:val="14"/>
              </w:rPr>
              <w:t xml:space="preserve"> </w:t>
            </w:r>
            <w:r>
              <w:rPr>
                <w:color w:val="151515"/>
                <w:spacing w:val="-2"/>
                <w:sz w:val="14"/>
              </w:rPr>
              <w:t>(0.005–0.012)</w:t>
            </w:r>
          </w:p>
        </w:tc>
        <w:tc>
          <w:tcPr>
            <w:tcW w:w="1139" w:type="dxa"/>
            <w:tcBorders/>
          </w:tcPr>
          <w:p>
            <w:pPr>
              <w:pStyle w:val="TableParagraph"/>
              <w:spacing w:before="42" w:after="0"/>
              <w:ind w:start="277"/>
              <w:rPr>
                <w:sz w:val="14"/>
              </w:rPr>
            </w:pPr>
            <w:r>
              <w:rPr>
                <w:color w:val="151515"/>
                <w:spacing w:val="-2"/>
                <w:sz w:val="14"/>
              </w:rPr>
              <w:t>0.010</w:t>
            </w:r>
          </w:p>
        </w:tc>
        <w:tc>
          <w:tcPr>
            <w:tcW w:w="1169" w:type="dxa"/>
            <w:tcBorders/>
          </w:tcPr>
          <w:p>
            <w:pPr>
              <w:pStyle w:val="TableParagraph"/>
              <w:spacing w:before="42" w:after="0"/>
              <w:ind w:start="202"/>
              <w:rPr>
                <w:sz w:val="14"/>
              </w:rPr>
            </w:pPr>
            <w:r>
              <w:rPr>
                <w:color w:val="151515"/>
                <w:spacing w:val="-2"/>
                <w:sz w:val="14"/>
              </w:rPr>
              <w:t>0.398</w:t>
            </w:r>
          </w:p>
        </w:tc>
        <w:tc>
          <w:tcPr>
            <w:tcW w:w="1245" w:type="dxa"/>
            <w:tcBorders/>
          </w:tcPr>
          <w:p>
            <w:pPr>
              <w:pStyle w:val="TableParagraph"/>
              <w:spacing w:before="42" w:after="0"/>
              <w:ind w:start="98"/>
              <w:rPr>
                <w:sz w:val="14"/>
              </w:rPr>
            </w:pPr>
            <w:r>
              <w:rPr>
                <w:color w:val="151515"/>
                <w:sz w:val="14"/>
              </w:rPr>
              <w:t>8.66</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10"/>
                <w:sz w:val="14"/>
              </w:rPr>
              <w:t>7</w:t>
            </w:r>
          </w:p>
        </w:tc>
        <w:tc>
          <w:tcPr>
            <w:tcW w:w="1696" w:type="dxa"/>
            <w:tcBorders/>
          </w:tcPr>
          <w:p>
            <w:pPr>
              <w:pStyle w:val="TableParagraph"/>
              <w:spacing w:before="42" w:after="0"/>
              <w:ind w:start="303"/>
              <w:rPr>
                <w:sz w:val="14"/>
              </w:rPr>
            </w:pPr>
            <w:r>
              <w:rPr>
                <w:color w:val="151515"/>
                <w:sz w:val="14"/>
              </w:rPr>
              <w:t>2.60</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10"/>
                <w:sz w:val="14"/>
              </w:rPr>
              <w:t>6</w:t>
            </w:r>
          </w:p>
        </w:tc>
      </w:tr>
      <w:tr>
        <w:trPr>
          <w:trHeight w:val="257" w:hRule="atLeast"/>
        </w:trPr>
        <w:tc>
          <w:tcPr>
            <w:tcW w:w="2032" w:type="dxa"/>
            <w:tcBorders/>
          </w:tcPr>
          <w:p>
            <w:pPr>
              <w:pStyle w:val="TableParagraph"/>
              <w:spacing w:before="45" w:after="0"/>
              <w:rPr>
                <w:sz w:val="14"/>
              </w:rPr>
            </w:pPr>
            <w:r>
              <w:rPr>
                <w:color w:val="151515"/>
                <w:sz w:val="14"/>
              </w:rPr>
              <w:t>V-Net</w:t>
            </w:r>
            <w:r>
              <w:rPr>
                <w:color w:val="151515"/>
                <w:spacing w:val="-9"/>
                <w:sz w:val="14"/>
              </w:rPr>
              <w:t xml:space="preserve"> </w:t>
            </w:r>
            <w:r>
              <w:rPr>
                <w:color w:val="151515"/>
                <w:sz w:val="14"/>
              </w:rPr>
              <w:t>vs</w:t>
            </w:r>
            <w:r>
              <w:rPr>
                <w:color w:val="151515"/>
                <w:spacing w:val="-8"/>
                <w:sz w:val="14"/>
              </w:rPr>
              <w:t xml:space="preserve"> </w:t>
            </w:r>
            <w:r>
              <w:rPr>
                <w:color w:val="151515"/>
                <w:sz w:val="14"/>
              </w:rPr>
              <w:t>3D</w:t>
            </w:r>
            <w:r>
              <w:rPr>
                <w:color w:val="151515"/>
                <w:spacing w:val="-8"/>
                <w:sz w:val="14"/>
              </w:rPr>
              <w:t xml:space="preserve"> </w:t>
            </w:r>
            <w:r>
              <w:rPr>
                <w:color w:val="151515"/>
                <w:sz w:val="14"/>
              </w:rPr>
              <w:t>U-</w:t>
            </w:r>
            <w:r>
              <w:rPr>
                <w:color w:val="151515"/>
                <w:spacing w:val="-5"/>
                <w:sz w:val="14"/>
              </w:rPr>
              <w:t>Net</w:t>
            </w:r>
          </w:p>
        </w:tc>
        <w:tc>
          <w:tcPr>
            <w:tcW w:w="2386" w:type="dxa"/>
            <w:tcBorders/>
          </w:tcPr>
          <w:p>
            <w:pPr>
              <w:pStyle w:val="TableParagraph"/>
              <w:spacing w:before="45" w:after="0"/>
              <w:ind w:start="249"/>
              <w:rPr>
                <w:sz w:val="14"/>
              </w:rPr>
            </w:pPr>
            <w:r>
              <w:rPr>
                <w:color w:val="151515"/>
                <w:spacing w:val="-2"/>
                <w:sz w:val="14"/>
              </w:rPr>
              <w:t>0.006</w:t>
            </w:r>
            <w:r>
              <w:rPr>
                <w:color w:val="151515"/>
                <w:spacing w:val="1"/>
                <w:sz w:val="14"/>
              </w:rPr>
              <w:t xml:space="preserve"> </w:t>
            </w:r>
            <w:r>
              <w:rPr>
                <w:color w:val="151515"/>
                <w:spacing w:val="-2"/>
                <w:sz w:val="14"/>
              </w:rPr>
              <w:t>(0.003–0.008)</w:t>
            </w:r>
          </w:p>
        </w:tc>
        <w:tc>
          <w:tcPr>
            <w:tcW w:w="1139" w:type="dxa"/>
            <w:tcBorders/>
          </w:tcPr>
          <w:p>
            <w:pPr>
              <w:pStyle w:val="TableParagraph"/>
              <w:spacing w:before="45" w:after="0"/>
              <w:ind w:start="277"/>
              <w:rPr>
                <w:sz w:val="14"/>
              </w:rPr>
            </w:pPr>
            <w:r>
              <w:rPr>
                <w:color w:val="151515"/>
                <w:spacing w:val="-2"/>
                <w:sz w:val="14"/>
              </w:rPr>
              <w:t>0.006</w:t>
            </w:r>
          </w:p>
        </w:tc>
        <w:tc>
          <w:tcPr>
            <w:tcW w:w="1169" w:type="dxa"/>
            <w:tcBorders/>
          </w:tcPr>
          <w:p>
            <w:pPr>
              <w:pStyle w:val="TableParagraph"/>
              <w:spacing w:before="45" w:after="0"/>
              <w:ind w:start="202"/>
              <w:rPr>
                <w:sz w:val="14"/>
              </w:rPr>
            </w:pPr>
            <w:r>
              <w:rPr>
                <w:color w:val="151515"/>
                <w:spacing w:val="-2"/>
                <w:sz w:val="14"/>
              </w:rPr>
              <w:t>0.272</w:t>
            </w:r>
          </w:p>
        </w:tc>
        <w:tc>
          <w:tcPr>
            <w:tcW w:w="1245" w:type="dxa"/>
            <w:tcBorders/>
          </w:tcPr>
          <w:p>
            <w:pPr>
              <w:pStyle w:val="TableParagraph"/>
              <w:spacing w:before="45" w:after="0"/>
              <w:ind w:start="98"/>
              <w:rPr>
                <w:sz w:val="14"/>
              </w:rPr>
            </w:pPr>
            <w:r>
              <w:rPr>
                <w:color w:val="151515"/>
                <w:sz w:val="14"/>
              </w:rPr>
              <w:t>7.79</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10"/>
                <w:sz w:val="14"/>
              </w:rPr>
              <w:t>4</w:t>
            </w:r>
          </w:p>
        </w:tc>
        <w:tc>
          <w:tcPr>
            <w:tcW w:w="1696" w:type="dxa"/>
            <w:tcBorders/>
          </w:tcPr>
          <w:p>
            <w:pPr>
              <w:pStyle w:val="TableParagraph"/>
              <w:spacing w:before="45" w:after="0"/>
              <w:ind w:start="303"/>
              <w:rPr>
                <w:sz w:val="14"/>
              </w:rPr>
            </w:pPr>
            <w:r>
              <w:rPr>
                <w:color w:val="151515"/>
                <w:sz w:val="14"/>
              </w:rPr>
              <w:t>7.79</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10"/>
                <w:sz w:val="14"/>
              </w:rPr>
              <w:t>4</w:t>
            </w:r>
          </w:p>
        </w:tc>
      </w:tr>
      <w:tr>
        <w:trPr>
          <w:trHeight w:val="256" w:hRule="atLeast"/>
        </w:trPr>
        <w:tc>
          <w:tcPr>
            <w:tcW w:w="2032" w:type="dxa"/>
            <w:tcBorders/>
          </w:tcPr>
          <w:p>
            <w:pPr>
              <w:pStyle w:val="TableParagraph"/>
              <w:spacing w:before="45" w:after="0"/>
              <w:rPr>
                <w:sz w:val="14"/>
              </w:rPr>
            </w:pPr>
            <w:r>
              <w:rPr>
                <w:color w:val="151515"/>
                <w:sz w:val="14"/>
              </w:rPr>
              <w:t>U-Net++</w:t>
            </w:r>
            <w:r>
              <w:rPr>
                <w:color w:val="151515"/>
                <w:spacing w:val="-10"/>
                <w:sz w:val="14"/>
              </w:rPr>
              <w:t xml:space="preserve"> </w:t>
            </w:r>
            <w:r>
              <w:rPr>
                <w:color w:val="151515"/>
                <w:sz w:val="14"/>
              </w:rPr>
              <w:t>vs</w:t>
            </w:r>
            <w:r>
              <w:rPr>
                <w:color w:val="151515"/>
                <w:spacing w:val="-9"/>
                <w:sz w:val="14"/>
              </w:rPr>
              <w:t xml:space="preserve"> </w:t>
            </w:r>
            <w:r>
              <w:rPr>
                <w:color w:val="151515"/>
                <w:sz w:val="14"/>
              </w:rPr>
              <w:t>3D</w:t>
            </w:r>
            <w:r>
              <w:rPr>
                <w:color w:val="151515"/>
                <w:spacing w:val="-9"/>
                <w:sz w:val="14"/>
              </w:rPr>
              <w:t xml:space="preserve"> </w:t>
            </w:r>
            <w:r>
              <w:rPr>
                <w:color w:val="151515"/>
                <w:sz w:val="14"/>
              </w:rPr>
              <w:t>U-</w:t>
            </w:r>
            <w:r>
              <w:rPr>
                <w:color w:val="151515"/>
                <w:spacing w:val="-5"/>
                <w:sz w:val="14"/>
              </w:rPr>
              <w:t>Net</w:t>
            </w:r>
          </w:p>
        </w:tc>
        <w:tc>
          <w:tcPr>
            <w:tcW w:w="2386" w:type="dxa"/>
            <w:tcBorders/>
          </w:tcPr>
          <w:p>
            <w:pPr>
              <w:pStyle w:val="TableParagraph"/>
              <w:spacing w:before="45" w:after="0"/>
              <w:ind w:start="249"/>
              <w:rPr>
                <w:sz w:val="14"/>
              </w:rPr>
            </w:pPr>
            <w:r>
              <w:rPr>
                <w:color w:val="151515"/>
                <w:spacing w:val="-2"/>
                <w:sz w:val="14"/>
              </w:rPr>
              <w:t>-0.005</w:t>
            </w:r>
            <w:r>
              <w:rPr>
                <w:color w:val="151515"/>
                <w:spacing w:val="2"/>
                <w:sz w:val="14"/>
              </w:rPr>
              <w:t xml:space="preserve"> </w:t>
            </w:r>
            <w:r>
              <w:rPr>
                <w:color w:val="151515"/>
                <w:spacing w:val="-2"/>
                <w:sz w:val="14"/>
              </w:rPr>
              <w:t>(-0.009–0.0002)</w:t>
            </w:r>
          </w:p>
        </w:tc>
        <w:tc>
          <w:tcPr>
            <w:tcW w:w="1139" w:type="dxa"/>
            <w:tcBorders/>
          </w:tcPr>
          <w:p>
            <w:pPr>
              <w:pStyle w:val="TableParagraph"/>
              <w:spacing w:before="45" w:after="0"/>
              <w:ind w:start="277"/>
              <w:rPr>
                <w:sz w:val="14"/>
              </w:rPr>
            </w:pPr>
            <w:r>
              <w:rPr>
                <w:color w:val="151515"/>
                <w:spacing w:val="-2"/>
                <w:sz w:val="14"/>
              </w:rPr>
              <w:t>-0.013</w:t>
            </w:r>
          </w:p>
        </w:tc>
        <w:tc>
          <w:tcPr>
            <w:tcW w:w="1169" w:type="dxa"/>
            <w:tcBorders/>
          </w:tcPr>
          <w:p>
            <w:pPr>
              <w:pStyle w:val="TableParagraph"/>
              <w:spacing w:before="45" w:after="0"/>
              <w:ind w:start="202"/>
              <w:rPr>
                <w:sz w:val="14"/>
              </w:rPr>
            </w:pPr>
            <w:r>
              <w:rPr>
                <w:color w:val="151515"/>
                <w:spacing w:val="-2"/>
                <w:sz w:val="14"/>
              </w:rPr>
              <w:t>-0.315</w:t>
            </w:r>
          </w:p>
        </w:tc>
        <w:tc>
          <w:tcPr>
            <w:tcW w:w="1245" w:type="dxa"/>
            <w:tcBorders/>
          </w:tcPr>
          <w:p>
            <w:pPr>
              <w:pStyle w:val="TableParagraph"/>
              <w:spacing w:before="45" w:after="0"/>
              <w:ind w:start="98"/>
              <w:rPr>
                <w:sz w:val="14"/>
              </w:rPr>
            </w:pPr>
            <w:r>
              <w:rPr>
                <w:color w:val="151515"/>
                <w:sz w:val="14"/>
              </w:rPr>
              <w:t>1.01</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10"/>
                <w:sz w:val="14"/>
              </w:rPr>
              <w:t>4</w:t>
            </w:r>
          </w:p>
        </w:tc>
        <w:tc>
          <w:tcPr>
            <w:tcW w:w="1696" w:type="dxa"/>
            <w:tcBorders/>
          </w:tcPr>
          <w:p>
            <w:pPr>
              <w:pStyle w:val="TableParagraph"/>
              <w:spacing w:before="45" w:after="0"/>
              <w:ind w:start="303"/>
              <w:rPr>
                <w:sz w:val="14"/>
              </w:rPr>
            </w:pPr>
            <w:r>
              <w:rPr>
                <w:color w:val="151515"/>
                <w:sz w:val="14"/>
              </w:rPr>
              <w:t>2.02</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10"/>
                <w:sz w:val="14"/>
              </w:rPr>
              <w:t>4</w:t>
            </w:r>
          </w:p>
        </w:tc>
      </w:tr>
      <w:tr>
        <w:trPr>
          <w:trHeight w:val="205" w:hRule="atLeast"/>
        </w:trPr>
        <w:tc>
          <w:tcPr>
            <w:tcW w:w="2032" w:type="dxa"/>
            <w:tcBorders/>
          </w:tcPr>
          <w:p>
            <w:pPr>
              <w:pStyle w:val="TableParagraph"/>
              <w:spacing w:lineRule="exact" w:line="141" w:before="45" w:after="0"/>
              <w:rPr>
                <w:sz w:val="14"/>
              </w:rPr>
            </w:pPr>
            <w:r>
              <w:rPr>
                <w:color w:val="151515"/>
                <w:spacing w:val="-2"/>
                <w:sz w:val="14"/>
              </w:rPr>
              <w:t>nnU-Net</w:t>
            </w:r>
            <w:r>
              <w:rPr>
                <w:color w:val="151515"/>
                <w:sz w:val="14"/>
              </w:rPr>
              <w:t xml:space="preserve"> </w:t>
            </w:r>
            <w:r>
              <w:rPr>
                <w:color w:val="151515"/>
                <w:spacing w:val="-2"/>
                <w:sz w:val="14"/>
              </w:rPr>
              <w:t>vs</w:t>
            </w:r>
            <w:r>
              <w:rPr>
                <w:color w:val="151515"/>
                <w:sz w:val="14"/>
              </w:rPr>
              <w:t xml:space="preserve"> </w:t>
            </w:r>
            <w:r>
              <w:rPr>
                <w:color w:val="151515"/>
                <w:spacing w:val="-2"/>
                <w:sz w:val="14"/>
              </w:rPr>
              <w:t>Residual</w:t>
            </w:r>
            <w:r>
              <w:rPr>
                <w:color w:val="151515"/>
                <w:sz w:val="14"/>
              </w:rPr>
              <w:t xml:space="preserve"> </w:t>
            </w:r>
            <w:r>
              <w:rPr>
                <w:color w:val="151515"/>
                <w:spacing w:val="-2"/>
                <w:sz w:val="14"/>
              </w:rPr>
              <w:t>U-</w:t>
            </w:r>
            <w:r>
              <w:rPr>
                <w:color w:val="151515"/>
                <w:spacing w:val="-4"/>
                <w:sz w:val="14"/>
              </w:rPr>
              <w:t>Net*</w:t>
            </w:r>
          </w:p>
        </w:tc>
        <w:tc>
          <w:tcPr>
            <w:tcW w:w="2386" w:type="dxa"/>
            <w:tcBorders/>
          </w:tcPr>
          <w:p>
            <w:pPr>
              <w:pStyle w:val="TableParagraph"/>
              <w:spacing w:lineRule="exact" w:line="141" w:before="45" w:after="0"/>
              <w:ind w:start="249"/>
              <w:rPr>
                <w:sz w:val="14"/>
              </w:rPr>
            </w:pPr>
            <w:r>
              <w:rPr>
                <w:color w:val="151515"/>
                <w:spacing w:val="-2"/>
                <w:sz w:val="14"/>
              </w:rPr>
              <w:t>0.076</w:t>
            </w:r>
            <w:r>
              <w:rPr>
                <w:color w:val="151515"/>
                <w:spacing w:val="1"/>
                <w:sz w:val="14"/>
              </w:rPr>
              <w:t xml:space="preserve"> </w:t>
            </w:r>
            <w:r>
              <w:rPr>
                <w:color w:val="151515"/>
                <w:spacing w:val="-2"/>
                <w:sz w:val="14"/>
              </w:rPr>
              <w:t>(0.068–0.089)</w:t>
            </w:r>
          </w:p>
        </w:tc>
        <w:tc>
          <w:tcPr>
            <w:tcW w:w="1139" w:type="dxa"/>
            <w:tcBorders/>
          </w:tcPr>
          <w:p>
            <w:pPr>
              <w:pStyle w:val="TableParagraph"/>
              <w:spacing w:lineRule="exact" w:line="141" w:before="45" w:after="0"/>
              <w:ind w:start="277"/>
              <w:rPr>
                <w:sz w:val="14"/>
              </w:rPr>
            </w:pPr>
            <w:r>
              <w:rPr>
                <w:color w:val="151515"/>
                <w:spacing w:val="-2"/>
                <w:sz w:val="14"/>
              </w:rPr>
              <w:t>0.095</w:t>
            </w:r>
          </w:p>
        </w:tc>
        <w:tc>
          <w:tcPr>
            <w:tcW w:w="1169" w:type="dxa"/>
            <w:tcBorders/>
          </w:tcPr>
          <w:p>
            <w:pPr>
              <w:pStyle w:val="TableParagraph"/>
              <w:spacing w:lineRule="exact" w:line="141" w:before="45" w:after="0"/>
              <w:ind w:start="202"/>
              <w:rPr>
                <w:sz w:val="14"/>
              </w:rPr>
            </w:pPr>
            <w:r>
              <w:rPr>
                <w:color w:val="151515"/>
                <w:spacing w:val="-2"/>
                <w:sz w:val="14"/>
              </w:rPr>
              <w:t>0.969</w:t>
            </w:r>
          </w:p>
        </w:tc>
        <w:tc>
          <w:tcPr>
            <w:tcW w:w="1245" w:type="dxa"/>
            <w:tcBorders/>
          </w:tcPr>
          <w:p>
            <w:pPr>
              <w:pStyle w:val="TableParagraph"/>
              <w:spacing w:lineRule="exact" w:line="141" w:before="45" w:after="0"/>
              <w:ind w:start="98"/>
              <w:rPr>
                <w:sz w:val="14"/>
              </w:rPr>
            </w:pPr>
            <w:r>
              <w:rPr>
                <w:color w:val="151515"/>
                <w:sz w:val="14"/>
              </w:rPr>
              <w:t>4.76</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5"/>
                <w:sz w:val="14"/>
              </w:rPr>
              <w:t>33</w:t>
            </w:r>
          </w:p>
        </w:tc>
        <w:tc>
          <w:tcPr>
            <w:tcW w:w="1696" w:type="dxa"/>
            <w:tcBorders/>
          </w:tcPr>
          <w:p>
            <w:pPr>
              <w:pStyle w:val="TableParagraph"/>
              <w:spacing w:lineRule="exact" w:line="141" w:before="45" w:after="0"/>
              <w:ind w:start="303"/>
              <w:rPr>
                <w:sz w:val="14"/>
              </w:rPr>
            </w:pPr>
            <w:r>
              <w:rPr>
                <w:color w:val="151515"/>
                <w:sz w:val="14"/>
              </w:rPr>
              <w:t>—</w:t>
            </w:r>
          </w:p>
        </w:tc>
      </w:tr>
    </w:tbl>
    <w:p>
      <w:pPr>
        <w:pStyle w:val="BodyText"/>
        <w:spacing w:lineRule="auto" w:line="302" w:before="56" w:after="0"/>
        <w:ind w:start="31" w:end="101"/>
        <w:rPr>
          <w:color w:val="151515"/>
        </w:rPr>
      </w:pPr>
      <w:r>
        <w:rPr>
          <w:color w:val="151515"/>
        </w:rPr>
        <w:t>*</w:t>
      </w:r>
      <w:r>
        <w:rPr/>
        <w:t xml:space="preserve"> </w:t>
      </w:r>
      <w:r>
        <w:rPr>
          <w:color w:val="151515"/>
        </w:rPr>
        <w:t>A separate, pre-defined comparison of full pipelines; it is not part of the Keras family of comparisons with the Holm correction. A positive value favors the first model.</w:t>
      </w:r>
    </w:p>
    <w:p>
      <w:pPr>
        <w:pStyle w:val="BodyText"/>
        <w:spacing w:before="5" w:after="0"/>
        <w:ind w:start="0"/>
        <w:jc w:val="start"/>
        <w:rPr>
          <w:sz w:val="12"/>
        </w:rPr>
      </w:pPr>
      <w:r>
        <w:rPr>
          <w:sz w:val="12"/>
        </w:rPr>
        <w:drawing>
          <ns2:anchor distT="0" distB="0" distL="0" distR="0" simplePos="0" relativeHeight="77" behindDoc="0" locked="0" layoutInCell="0" allowOverlap="1">
            <ns2:simplePos x="0" y="0"/>
            <ns2:positionH relativeFrom="page">
              <ns2:posOffset>780415</ns2:posOffset>
            </ns2:positionH>
            <ns2:positionV relativeFrom="paragraph">
              <ns2:posOffset>106680</ns2:posOffset>
            </ns2:positionV>
            <ns2:extent cx="5902325" cy="2267585"/>
            <ns2:effectExtent l="0" t="0" r="0" b="0"/>
            <ns2:wrapTopAndBottom/>
            <ns2:docPr id="2" name="Image 4" descr="Primary performance and paired effects"/>
            <ns2:cNvGraphicFramePr>
              <ns3:graphicFrameLocks noChangeAspect="1"/>
            </ns2:cNvGraphicFramePr>
            <ns3:graphic>
              <ns3:graphicData uri="http://schemas.openxmlformats.org/drawingml/2006/picture">
                <ns4:pic>
                  <ns4:nvPicPr>
                    <ns4:cNvPr id="2" name="Image 4" descr="Primary performance and paired effects"/>
                    <ns4:cNvPicPr>
                      <ns3:picLocks noChangeAspect="1" noChangeArrowheads="1"/>
                    </ns4:cNvPicPr>
                  </ns4:nvPicPr>
                  <ns4:blipFill>
                    <ns3:blip ns5:embed="rId3"/>
                    <ns3:stretch>
                      <ns3:fillRect/>
                    </ns3:stretch>
                  </ns4:blipFill>
                  <ns4:spPr bwMode="auto">
                    <ns3:xfrm>
                      <ns3:off x="0" y="0"/>
                      <ns3:ext cx="5902325" cy="2267585"/>
                    </ns3:xfrm>
                    <ns3:prstGeom prst="rect">
                      <ns3:avLst/>
                    </ns3:prstGeom>
                    <ns3:noFill/>
                  </ns4:spPr>
                </ns4:pic>
              </ns3:graphicData>
            </ns3:graphic>
          </ns2:anchor>
        </w:drawing>
      </w:r>
    </w:p>
    <w:p>
      <w:pPr>
        <w:pStyle w:val="BodyText"/>
        <w:spacing w:before="80" w:after="0"/>
        <w:ind w:start="0"/>
        <w:jc w:val="start"/>
        <w:rPr/>
      </w:pPr>
      <w:r>
        <w:rPr/>
      </w:r>
    </w:p>
    <w:p>
      <w:pPr>
        <w:pStyle w:val="Normal"/>
        <w:spacing w:lineRule="auto" w:line="286"/>
        <w:ind w:start="31" w:end="225"/>
        <w:rPr>
          <w:rFonts w:ascii="Arial MT" w:hAnsi="Arial MT"/>
          <w:color w:val="151515"/>
          <w:spacing w:val="-12"/>
          <w:w w:val="105"/>
          <w:sz w:val="17"/>
        </w:rPr>
      </w:pPr>
      <w:r>
        <w:rPr>
          <w:rFonts w:ascii="Arial MT" w:hAnsi="Arial MT"/>
          <w:color w:val="151515"/>
          <w:spacing w:val="-12"/>
          <w:w w:val="105"/>
          <w:sz w:val="17"/>
        </w:rPr>
        <w:t>Figure 2. Main results on out-of-fold data. (A) Distributions of the Dice coefficient for the combined tumor region at the patient level; boxes indicate the interquartile range and median, while dark dots with vertical bars represent the unweighted mean per patient and the 95% bootstrap confidence interval. (B) Median pairwise differences with 95% bootstrap confidence intervals. nnU-Net represents a comparison of the full pipelines.</w:t>
      </w:r>
    </w:p>
    <w:p>
      <w:pPr>
        <w:pStyle w:val="BodyText"/>
        <w:spacing w:before="169" w:after="0"/>
        <w:ind w:start="0"/>
        <w:jc w:val="start"/>
        <w:rPr>
          <w:rFonts w:ascii="Arial MT" w:hAnsi="Arial MT"/>
          <w:sz w:val="17"/>
        </w:rPr>
      </w:pPr>
      <w:r>
        <w:rPr>
          <w:rFonts w:ascii="Arial MT" w:hAnsi="Arial MT"/>
          <w:sz w:val="17"/>
        </w:rPr>
      </w:r>
    </w:p>
    <w:p>
      <w:pPr>
        <w:pStyle w:val="ListParagraph"/>
        <w:numPr>
          <w:ilvl w:val="1"/>
          <w:numId w:val="3"/>
        </w:numPr>
        <w:outlineLvl w:val="1"/>
        <w:rPr>
          <w:b/>
        </w:rPr>
      </w:pPr>
      <w:bookmarkStart w:id="15" w:name="3.3_Prespecified_nnU-Net_whole-pipeline_"/>
      <w:bookmarkEnd w:id="15"/>
      <w:r>
        <w:rPr>
          <w:b/>
        </w:rPr>
        <w:t>Prespecified nnU-Net whole-pipeline comparison</w:t>
      </w:r>
    </w:p>
    <w:p>
      <w:pPr>
        <w:pStyle w:val="BodyText"/>
        <w:spacing w:lineRule="auto" w:line="302"/>
        <w:ind w:start="31" w:end="92"/>
        <w:rPr>
          <w:color w:val="151515"/>
        </w:rPr>
      </w:pPr>
      <w:r>
        <w:rPr>
          <w:color w:val="151515"/>
        </w:rPr>
        <w:t>The mean patient-level Dice score for the combined tumor region was 0.879 (95% CI, 0.856–0.900) for nnU-Net, compared to 0.785 (0.759–0.808) for Residual U-Net. The median paired difference was 0.076 (0.068–0.089), the mean paired difference was 0.095, and the rank-biserial correlation for paired samples was 0.969 (P = 4.76 × 10⁻³³). This effect was observed across a significant proportion of patients rather than being driven by just a few folds: the mean value for nnU-Net in each fold exceeded the mean value in each of the Keras folds (Figure 5A).</w:t>
      </w:r>
    </w:p>
    <w:p>
      <w:pPr>
        <w:pStyle w:val="Normal"/>
        <w:rPr>
          <w:color w:val="151515"/>
        </w:rPr>
      </w:pPr>
      <w:r>
        <w:rPr>
          <w:color w:val="151515"/>
        </w:rPr>
        <w:t>The result demonstrates a substantial advantage of the tested nnU-Net pipeline on this internal reference standard. However, it does not allow us to determine whether the differences stemmed from preprocessing, sampling, augmentation, optimization, architecture, inference, or an interaction between them.</w:t>
      </w:r>
    </w:p>
    <w:p>
      <w:pPr>
        <w:pStyle w:val="ListParagraph"/>
        <w:ind w:hanging="0" w:start="390"/>
        <w:rPr>
          <w:color w:val="151515"/>
        </w:rPr>
      </w:pPr>
      <w:r>
        <w:rPr>
          <w:color w:val="151515"/>
        </w:rPr>
      </w:r>
    </w:p>
    <w:p>
      <w:pPr>
        <w:pStyle w:val="ListParagraph"/>
        <w:numPr>
          <w:ilvl w:val="1"/>
          <w:numId w:val="3"/>
        </w:numPr>
        <w:outlineLvl w:val="1"/>
        <w:rPr>
          <w:b/>
        </w:rPr>
      </w:pPr>
      <w:bookmarkStart w:id="16" w:name="3.4_Class,_surface,_and_lesion_performan"/>
      <w:bookmarkEnd w:id="16"/>
      <w:r>
        <w:rPr>
          <w:b/>
        </w:rPr>
        <w:t>Class, surface, and lesion performance</w:t>
      </w:r>
    </w:p>
    <w:p>
      <w:pPr>
        <w:pStyle w:val="BodyText"/>
        <w:spacing w:lineRule="auto" w:line="302" w:before="99" w:after="0"/>
        <w:ind w:start="31" w:end="94"/>
        <w:rPr>
          <w:color w:val="151515"/>
        </w:rPr>
      </w:pPr>
      <w:r>
        <w:rPr>
          <w:color w:val="151515"/>
        </w:rPr>
        <w:t>nnU-Net demonstrated a higher mean patient-level Dice score than all controlled models for each of the four individual classes (Table 5 and Figure 3A). The largest absolute difference for an individual class compared to the best result among the controlled models was observed for the non-enhancing tumor core (0.525 vs. 0.355); for enhancing tissue, the scores were 0.796 vs. 0.698; for FLAIR hyperintensity, 0.874 vs. 0.765; and for the cavity, 0.620 vs. 0.470. The same trend was observed for the combined postoperative region: the mean patient-level Dice score for nnU-Net was 0.898 (95% CI, 0.876–0.918), whereas values ​​for the controlled models ranged from 0.778 to 0.811.</w:t>
      </w:r>
    </w:p>
    <w:p>
      <w:pPr>
        <w:pStyle w:val="BodyText"/>
        <w:spacing w:lineRule="auto" w:line="302" w:before="99" w:after="0"/>
        <w:ind w:start="31" w:end="94"/>
        <w:rPr>
          <w:color w:val="151515"/>
          <w:sz w:val="17"/>
          <w:szCs w:val="17"/>
        </w:rPr>
      </w:pPr>
      <w:r>
        <w:rPr>
          <w:color w:val="151515"/>
          <w:sz w:val="17"/>
          <w:szCs w:val="17"/>
        </w:rPr>
        <w:t>Table 5. Dice coefficient by individual class and HD95 for scans with reference annotations.</w:t>
      </w:r>
    </w:p>
    <w:p>
      <w:pPr>
        <w:pStyle w:val="BodyText"/>
        <w:spacing w:before="11" w:after="0"/>
        <w:ind w:start="0"/>
        <w:jc w:val="start"/>
        <w:rPr>
          <w:rFonts w:ascii="Arial MT" w:hAnsi="Arial MT"/>
          <w:sz w:val="10"/>
        </w:rPr>
      </w:pPr>
      <w:r>
        <w:rPr>
          <w:rFonts w:ascii="Arial MT" w:hAnsi="Arial MT"/>
          <w:sz w:val="10"/>
        </w:rPr>
      </w:r>
    </w:p>
    <w:tbl>
      <w:tblPr>
        <w:tblW w:w="9667"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1511"/>
        <w:gridCol w:w="2143"/>
        <w:gridCol w:w="1737"/>
        <w:gridCol w:w="2029"/>
        <w:gridCol w:w="2247"/>
      </w:tblGrid>
      <w:tr>
        <w:trPr>
          <w:trHeight w:val="265" w:hRule="atLeast"/>
        </w:trPr>
        <w:tc>
          <w:tcPr>
            <w:tcW w:w="1511" w:type="dxa"/>
            <w:tcBorders/>
            <w:shd w:color="auto" w:fill="EDF0F4" w:val="clear"/>
          </w:tcPr>
          <w:p>
            <w:pPr>
              <w:pStyle w:val="TableParagraph"/>
              <w:spacing w:before="46" w:after="0"/>
              <w:rPr>
                <w:rFonts w:ascii="Arial" w:hAnsi="Arial"/>
                <w:b/>
                <w:sz w:val="14"/>
              </w:rPr>
            </w:pPr>
            <w:r>
              <w:rPr>
                <w:rFonts w:ascii="Arial" w:hAnsi="Arial"/>
                <w:b/>
                <w:color w:val="151515"/>
                <w:spacing w:val="-2"/>
                <w:sz w:val="14"/>
              </w:rPr>
              <w:t>Model</w:t>
            </w:r>
          </w:p>
        </w:tc>
        <w:tc>
          <w:tcPr>
            <w:tcW w:w="2143" w:type="dxa"/>
            <w:tcBorders/>
            <w:shd w:color="auto" w:fill="EDF0F4" w:val="clear"/>
          </w:tcPr>
          <w:p>
            <w:pPr>
              <w:pStyle w:val="TableParagraph"/>
              <w:spacing w:before="46" w:after="0"/>
              <w:ind w:start="478"/>
              <w:rPr>
                <w:rFonts w:ascii="Arial" w:hAnsi="Arial"/>
                <w:b/>
                <w:sz w:val="14"/>
              </w:rPr>
            </w:pPr>
            <w:r>
              <w:rPr>
                <w:rFonts w:ascii="Arial" w:hAnsi="Arial"/>
                <w:b/>
                <w:color w:val="151515"/>
                <w:sz w:val="14"/>
              </w:rPr>
              <w:t>Non-enhancing</w:t>
            </w:r>
            <w:r>
              <w:rPr>
                <w:rFonts w:ascii="Arial" w:hAnsi="Arial"/>
                <w:b/>
                <w:color w:val="151515"/>
                <w:spacing w:val="8"/>
                <w:sz w:val="14"/>
              </w:rPr>
              <w:t xml:space="preserve"> </w:t>
            </w:r>
            <w:r>
              <w:rPr>
                <w:rFonts w:ascii="Arial" w:hAnsi="Arial"/>
                <w:b/>
                <w:color w:val="151515"/>
                <w:spacing w:val="-4"/>
                <w:sz w:val="14"/>
              </w:rPr>
              <w:t>core</w:t>
            </w:r>
          </w:p>
        </w:tc>
        <w:tc>
          <w:tcPr>
            <w:tcW w:w="1737" w:type="dxa"/>
            <w:tcBorders/>
            <w:shd w:color="auto" w:fill="EDF0F4" w:val="clear"/>
          </w:tcPr>
          <w:p>
            <w:pPr>
              <w:pStyle w:val="TableParagraph"/>
              <w:spacing w:before="46" w:after="0"/>
              <w:ind w:start="270"/>
              <w:rPr>
                <w:rFonts w:ascii="Arial" w:hAnsi="Arial"/>
                <w:b/>
                <w:sz w:val="14"/>
              </w:rPr>
            </w:pPr>
            <w:r>
              <w:rPr>
                <w:rFonts w:ascii="Arial" w:hAnsi="Arial"/>
                <w:b/>
                <w:color w:val="151515"/>
                <w:sz w:val="14"/>
              </w:rPr>
              <w:t>FLAIR</w:t>
            </w:r>
            <w:r>
              <w:rPr>
                <w:rFonts w:ascii="Arial" w:hAnsi="Arial"/>
                <w:b/>
                <w:color w:val="151515"/>
                <w:spacing w:val="2"/>
                <w:sz w:val="14"/>
              </w:rPr>
              <w:t xml:space="preserve"> </w:t>
            </w:r>
            <w:r>
              <w:rPr>
                <w:rFonts w:ascii="Arial" w:hAnsi="Arial"/>
                <w:b/>
                <w:color w:val="151515"/>
                <w:sz w:val="14"/>
              </w:rPr>
              <w:t>/</w:t>
            </w:r>
            <w:r>
              <w:rPr>
                <w:rFonts w:ascii="Arial" w:hAnsi="Arial"/>
                <w:b/>
                <w:color w:val="151515"/>
                <w:spacing w:val="3"/>
                <w:sz w:val="14"/>
              </w:rPr>
              <w:t xml:space="preserve"> </w:t>
            </w:r>
            <w:r>
              <w:rPr>
                <w:rFonts w:ascii="Arial" w:hAnsi="Arial"/>
                <w:b/>
                <w:color w:val="151515"/>
                <w:spacing w:val="-2"/>
                <w:sz w:val="14"/>
              </w:rPr>
              <w:t>edema</w:t>
            </w:r>
          </w:p>
        </w:tc>
        <w:tc>
          <w:tcPr>
            <w:tcW w:w="2029" w:type="dxa"/>
            <w:tcBorders/>
            <w:shd w:color="auto" w:fill="EDF0F4" w:val="clear"/>
          </w:tcPr>
          <w:p>
            <w:pPr>
              <w:pStyle w:val="TableParagraph"/>
              <w:spacing w:before="46" w:after="0"/>
              <w:ind w:start="467"/>
              <w:rPr>
                <w:rFonts w:ascii="Arial" w:hAnsi="Arial"/>
                <w:b/>
                <w:sz w:val="14"/>
              </w:rPr>
            </w:pPr>
            <w:r>
              <w:rPr>
                <w:rFonts w:ascii="Arial" w:hAnsi="Arial"/>
                <w:b/>
                <w:color w:val="151515"/>
                <w:sz w:val="14"/>
              </w:rPr>
              <w:t>Enhancing</w:t>
            </w:r>
            <w:r>
              <w:rPr>
                <w:rFonts w:ascii="Arial" w:hAnsi="Arial"/>
                <w:b/>
                <w:color w:val="151515"/>
                <w:spacing w:val="7"/>
                <w:sz w:val="14"/>
              </w:rPr>
              <w:t xml:space="preserve"> </w:t>
            </w:r>
            <w:r>
              <w:rPr>
                <w:rFonts w:ascii="Arial" w:hAnsi="Arial"/>
                <w:b/>
                <w:color w:val="151515"/>
                <w:spacing w:val="-2"/>
                <w:sz w:val="14"/>
              </w:rPr>
              <w:t>tissue</w:t>
            </w:r>
          </w:p>
        </w:tc>
        <w:tc>
          <w:tcPr>
            <w:tcW w:w="2247" w:type="dxa"/>
            <w:tcBorders/>
            <w:shd w:color="auto" w:fill="EDF0F4" w:val="clear"/>
          </w:tcPr>
          <w:p>
            <w:pPr>
              <w:pStyle w:val="TableParagraph"/>
              <w:spacing w:before="46" w:after="0"/>
              <w:ind w:start="371"/>
              <w:rPr>
                <w:rFonts w:ascii="Arial" w:hAnsi="Arial"/>
                <w:b/>
                <w:sz w:val="14"/>
              </w:rPr>
            </w:pPr>
            <w:r>
              <w:rPr>
                <w:rFonts w:ascii="Arial" w:hAnsi="Arial"/>
                <w:b/>
                <w:color w:val="151515"/>
                <w:sz w:val="14"/>
              </w:rPr>
              <w:t>Resection</w:t>
            </w:r>
            <w:r>
              <w:rPr>
                <w:rFonts w:ascii="Arial" w:hAnsi="Arial"/>
                <w:b/>
                <w:color w:val="151515"/>
                <w:spacing w:val="5"/>
                <w:sz w:val="14"/>
              </w:rPr>
              <w:t xml:space="preserve"> </w:t>
            </w:r>
            <w:r>
              <w:rPr>
                <w:rFonts w:ascii="Arial" w:hAnsi="Arial"/>
                <w:b/>
                <w:color w:val="151515"/>
                <w:spacing w:val="-2"/>
                <w:sz w:val="14"/>
              </w:rPr>
              <w:t>cavity</w:t>
            </w:r>
          </w:p>
        </w:tc>
      </w:tr>
      <w:tr>
        <w:trPr>
          <w:trHeight w:val="260" w:hRule="atLeast"/>
        </w:trPr>
        <w:tc>
          <w:tcPr>
            <w:tcW w:w="1511" w:type="dxa"/>
            <w:tcBorders/>
          </w:tcPr>
          <w:p>
            <w:pPr>
              <w:pStyle w:val="TableParagraph"/>
              <w:spacing w:before="46" w:after="0"/>
              <w:rPr>
                <w:sz w:val="14"/>
              </w:rPr>
            </w:pPr>
            <w:r>
              <w:rPr>
                <w:color w:val="151515"/>
                <w:sz w:val="14"/>
              </w:rPr>
              <w:t>3D</w:t>
            </w:r>
            <w:r>
              <w:rPr>
                <w:color w:val="151515"/>
                <w:spacing w:val="3"/>
                <w:sz w:val="14"/>
              </w:rPr>
              <w:t xml:space="preserve"> </w:t>
            </w:r>
            <w:r>
              <w:rPr>
                <w:color w:val="151515"/>
                <w:sz w:val="14"/>
              </w:rPr>
              <w:t>U-</w:t>
            </w:r>
            <w:r>
              <w:rPr>
                <w:color w:val="151515"/>
                <w:spacing w:val="-5"/>
                <w:sz w:val="14"/>
              </w:rPr>
              <w:t>Net</w:t>
            </w:r>
          </w:p>
        </w:tc>
        <w:tc>
          <w:tcPr>
            <w:tcW w:w="2143" w:type="dxa"/>
            <w:tcBorders/>
          </w:tcPr>
          <w:p>
            <w:pPr>
              <w:pStyle w:val="TableParagraph"/>
              <w:spacing w:before="46" w:after="0"/>
              <w:ind w:start="478"/>
              <w:rPr>
                <w:sz w:val="14"/>
              </w:rPr>
            </w:pPr>
            <w:r>
              <w:rPr>
                <w:color w:val="151515"/>
                <w:sz w:val="14"/>
              </w:rPr>
              <w:t>0.300</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11.49</w:t>
            </w:r>
          </w:p>
        </w:tc>
        <w:tc>
          <w:tcPr>
            <w:tcW w:w="1737" w:type="dxa"/>
            <w:tcBorders/>
          </w:tcPr>
          <w:p>
            <w:pPr>
              <w:pStyle w:val="TableParagraph"/>
              <w:spacing w:before="46" w:after="0"/>
              <w:ind w:start="270"/>
              <w:rPr>
                <w:sz w:val="14"/>
              </w:rPr>
            </w:pPr>
            <w:r>
              <w:rPr>
                <w:color w:val="151515"/>
                <w:sz w:val="14"/>
              </w:rPr>
              <w:t>0.756</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24.67</w:t>
            </w:r>
          </w:p>
        </w:tc>
        <w:tc>
          <w:tcPr>
            <w:tcW w:w="2029" w:type="dxa"/>
            <w:tcBorders/>
          </w:tcPr>
          <w:p>
            <w:pPr>
              <w:pStyle w:val="TableParagraph"/>
              <w:spacing w:before="46" w:after="0"/>
              <w:ind w:start="467"/>
              <w:rPr>
                <w:sz w:val="14"/>
              </w:rPr>
            </w:pPr>
            <w:r>
              <w:rPr>
                <w:color w:val="151515"/>
                <w:sz w:val="14"/>
              </w:rPr>
              <w:t>0.670</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9.22</w:t>
            </w:r>
          </w:p>
        </w:tc>
        <w:tc>
          <w:tcPr>
            <w:tcW w:w="2247" w:type="dxa"/>
            <w:tcBorders/>
          </w:tcPr>
          <w:p>
            <w:pPr>
              <w:pStyle w:val="TableParagraph"/>
              <w:spacing w:before="46" w:after="0"/>
              <w:ind w:start="371"/>
              <w:rPr>
                <w:sz w:val="14"/>
              </w:rPr>
            </w:pPr>
            <w:r>
              <w:rPr>
                <w:color w:val="151515"/>
                <w:sz w:val="14"/>
              </w:rPr>
              <w:t>0.455</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64.97</w:t>
            </w:r>
          </w:p>
        </w:tc>
      </w:tr>
      <w:tr>
        <w:trPr>
          <w:trHeight w:val="265" w:hRule="atLeast"/>
        </w:trPr>
        <w:tc>
          <w:tcPr>
            <w:tcW w:w="1511" w:type="dxa"/>
            <w:tcBorders/>
          </w:tcPr>
          <w:p>
            <w:pPr>
              <w:pStyle w:val="TableParagraph"/>
              <w:spacing w:before="51" w:after="0"/>
              <w:rPr>
                <w:sz w:val="14"/>
              </w:rPr>
            </w:pPr>
            <w:r>
              <w:rPr>
                <w:color w:val="151515"/>
                <w:sz w:val="14"/>
              </w:rPr>
              <w:t>Residual</w:t>
            </w:r>
            <w:r>
              <w:rPr>
                <w:color w:val="151515"/>
                <w:spacing w:val="4"/>
                <w:sz w:val="14"/>
              </w:rPr>
              <w:t xml:space="preserve"> </w:t>
            </w:r>
            <w:r>
              <w:rPr>
                <w:color w:val="151515"/>
                <w:sz w:val="14"/>
              </w:rPr>
              <w:t>U-</w:t>
            </w:r>
            <w:r>
              <w:rPr>
                <w:color w:val="151515"/>
                <w:spacing w:val="-5"/>
                <w:sz w:val="14"/>
              </w:rPr>
              <w:t>Net</w:t>
            </w:r>
          </w:p>
        </w:tc>
        <w:tc>
          <w:tcPr>
            <w:tcW w:w="2143" w:type="dxa"/>
            <w:tcBorders/>
          </w:tcPr>
          <w:p>
            <w:pPr>
              <w:pStyle w:val="TableParagraph"/>
              <w:spacing w:before="51" w:after="0"/>
              <w:ind w:start="478"/>
              <w:rPr>
                <w:sz w:val="14"/>
              </w:rPr>
            </w:pPr>
            <w:r>
              <w:rPr>
                <w:color w:val="151515"/>
                <w:sz w:val="14"/>
              </w:rPr>
              <w:t>0.355</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11.58</w:t>
            </w:r>
          </w:p>
        </w:tc>
        <w:tc>
          <w:tcPr>
            <w:tcW w:w="1737" w:type="dxa"/>
            <w:tcBorders/>
          </w:tcPr>
          <w:p>
            <w:pPr>
              <w:pStyle w:val="TableParagraph"/>
              <w:spacing w:before="51" w:after="0"/>
              <w:ind w:start="270"/>
              <w:rPr>
                <w:sz w:val="14"/>
              </w:rPr>
            </w:pPr>
            <w:r>
              <w:rPr>
                <w:color w:val="151515"/>
                <w:sz w:val="14"/>
              </w:rPr>
              <w:t>0.765</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21.70</w:t>
            </w:r>
          </w:p>
        </w:tc>
        <w:tc>
          <w:tcPr>
            <w:tcW w:w="2029" w:type="dxa"/>
            <w:tcBorders/>
          </w:tcPr>
          <w:p>
            <w:pPr>
              <w:pStyle w:val="TableParagraph"/>
              <w:spacing w:before="51" w:after="0"/>
              <w:ind w:start="467"/>
              <w:rPr>
                <w:sz w:val="14"/>
              </w:rPr>
            </w:pPr>
            <w:r>
              <w:rPr>
                <w:color w:val="151515"/>
                <w:sz w:val="14"/>
              </w:rPr>
              <w:t>0.698</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6.78</w:t>
            </w:r>
          </w:p>
        </w:tc>
        <w:tc>
          <w:tcPr>
            <w:tcW w:w="2247" w:type="dxa"/>
            <w:tcBorders/>
          </w:tcPr>
          <w:p>
            <w:pPr>
              <w:pStyle w:val="TableParagraph"/>
              <w:spacing w:before="51" w:after="0"/>
              <w:ind w:start="371"/>
              <w:rPr>
                <w:sz w:val="14"/>
              </w:rPr>
            </w:pPr>
            <w:r>
              <w:rPr>
                <w:color w:val="151515"/>
                <w:sz w:val="14"/>
              </w:rPr>
              <w:t>0.470</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45.52</w:t>
            </w:r>
          </w:p>
        </w:tc>
      </w:tr>
      <w:tr>
        <w:trPr>
          <w:trHeight w:val="265" w:hRule="atLeast"/>
        </w:trPr>
        <w:tc>
          <w:tcPr>
            <w:tcW w:w="1511" w:type="dxa"/>
            <w:tcBorders/>
          </w:tcPr>
          <w:p>
            <w:pPr>
              <w:pStyle w:val="TableParagraph"/>
              <w:spacing w:before="51" w:after="0"/>
              <w:rPr>
                <w:sz w:val="14"/>
              </w:rPr>
            </w:pPr>
            <w:r>
              <w:rPr>
                <w:color w:val="151515"/>
                <w:sz w:val="14"/>
              </w:rPr>
              <w:t>V-</w:t>
            </w:r>
            <w:r>
              <w:rPr>
                <w:color w:val="151515"/>
                <w:spacing w:val="-5"/>
                <w:sz w:val="14"/>
              </w:rPr>
              <w:t>Net</w:t>
            </w:r>
          </w:p>
        </w:tc>
        <w:tc>
          <w:tcPr>
            <w:tcW w:w="2143" w:type="dxa"/>
            <w:tcBorders/>
          </w:tcPr>
          <w:p>
            <w:pPr>
              <w:pStyle w:val="TableParagraph"/>
              <w:spacing w:before="51" w:after="0"/>
              <w:ind w:start="478"/>
              <w:rPr>
                <w:sz w:val="14"/>
              </w:rPr>
            </w:pPr>
            <w:r>
              <w:rPr>
                <w:color w:val="151515"/>
                <w:sz w:val="14"/>
              </w:rPr>
              <w:t>0.297</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11.15</w:t>
            </w:r>
          </w:p>
        </w:tc>
        <w:tc>
          <w:tcPr>
            <w:tcW w:w="1737" w:type="dxa"/>
            <w:tcBorders/>
          </w:tcPr>
          <w:p>
            <w:pPr>
              <w:pStyle w:val="TableParagraph"/>
              <w:spacing w:before="51" w:after="0"/>
              <w:ind w:start="270"/>
              <w:rPr>
                <w:sz w:val="14"/>
              </w:rPr>
            </w:pPr>
            <w:r>
              <w:rPr>
                <w:color w:val="151515"/>
                <w:sz w:val="14"/>
              </w:rPr>
              <w:t>0.765</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18.97</w:t>
            </w:r>
          </w:p>
        </w:tc>
        <w:tc>
          <w:tcPr>
            <w:tcW w:w="2029" w:type="dxa"/>
            <w:tcBorders/>
          </w:tcPr>
          <w:p>
            <w:pPr>
              <w:pStyle w:val="TableParagraph"/>
              <w:spacing w:before="51" w:after="0"/>
              <w:ind w:start="467"/>
              <w:rPr>
                <w:sz w:val="14"/>
              </w:rPr>
            </w:pPr>
            <w:r>
              <w:rPr>
                <w:color w:val="151515"/>
                <w:sz w:val="14"/>
              </w:rPr>
              <w:t>0.678</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9.43</w:t>
            </w:r>
          </w:p>
        </w:tc>
        <w:tc>
          <w:tcPr>
            <w:tcW w:w="2247" w:type="dxa"/>
            <w:tcBorders/>
          </w:tcPr>
          <w:p>
            <w:pPr>
              <w:pStyle w:val="TableParagraph"/>
              <w:spacing w:before="51" w:after="0"/>
              <w:ind w:start="371"/>
              <w:rPr>
                <w:sz w:val="14"/>
              </w:rPr>
            </w:pPr>
            <w:r>
              <w:rPr>
                <w:color w:val="151515"/>
                <w:sz w:val="14"/>
              </w:rPr>
              <w:t>0.443</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50.92</w:t>
            </w:r>
          </w:p>
        </w:tc>
      </w:tr>
      <w:tr>
        <w:trPr>
          <w:trHeight w:val="265" w:hRule="atLeast"/>
        </w:trPr>
        <w:tc>
          <w:tcPr>
            <w:tcW w:w="1511" w:type="dxa"/>
            <w:tcBorders/>
          </w:tcPr>
          <w:p>
            <w:pPr>
              <w:pStyle w:val="TableParagraph"/>
              <w:spacing w:before="51" w:after="0"/>
              <w:rPr>
                <w:sz w:val="14"/>
              </w:rPr>
            </w:pPr>
            <w:r>
              <w:rPr>
                <w:color w:val="151515"/>
                <w:spacing w:val="-2"/>
                <w:sz w:val="14"/>
              </w:rPr>
              <w:t>U-Net++</w:t>
            </w:r>
          </w:p>
        </w:tc>
        <w:tc>
          <w:tcPr>
            <w:tcW w:w="2143" w:type="dxa"/>
            <w:tcBorders/>
          </w:tcPr>
          <w:p>
            <w:pPr>
              <w:pStyle w:val="TableParagraph"/>
              <w:spacing w:before="51" w:after="0"/>
              <w:ind w:start="478"/>
              <w:rPr>
                <w:sz w:val="14"/>
              </w:rPr>
            </w:pPr>
            <w:r>
              <w:rPr>
                <w:color w:val="151515"/>
                <w:sz w:val="14"/>
              </w:rPr>
              <w:t>0.287</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11.75</w:t>
            </w:r>
          </w:p>
        </w:tc>
        <w:tc>
          <w:tcPr>
            <w:tcW w:w="1737" w:type="dxa"/>
            <w:tcBorders/>
          </w:tcPr>
          <w:p>
            <w:pPr>
              <w:pStyle w:val="TableParagraph"/>
              <w:spacing w:before="51" w:after="0"/>
              <w:ind w:start="270"/>
              <w:rPr>
                <w:sz w:val="14"/>
              </w:rPr>
            </w:pPr>
            <w:r>
              <w:rPr>
                <w:color w:val="151515"/>
                <w:sz w:val="14"/>
              </w:rPr>
              <w:t>0.742</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36.05</w:t>
            </w:r>
          </w:p>
        </w:tc>
        <w:tc>
          <w:tcPr>
            <w:tcW w:w="2029" w:type="dxa"/>
            <w:tcBorders/>
          </w:tcPr>
          <w:p>
            <w:pPr>
              <w:pStyle w:val="TableParagraph"/>
              <w:spacing w:before="51" w:after="0"/>
              <w:ind w:start="467"/>
              <w:rPr>
                <w:sz w:val="14"/>
              </w:rPr>
            </w:pPr>
            <w:r>
              <w:rPr>
                <w:color w:val="151515"/>
                <w:sz w:val="14"/>
              </w:rPr>
              <w:t>0.653</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12.85</w:t>
            </w:r>
          </w:p>
        </w:tc>
        <w:tc>
          <w:tcPr>
            <w:tcW w:w="2247" w:type="dxa"/>
            <w:tcBorders/>
          </w:tcPr>
          <w:p>
            <w:pPr>
              <w:pStyle w:val="TableParagraph"/>
              <w:spacing w:before="51" w:after="0"/>
              <w:ind w:start="371"/>
              <w:rPr>
                <w:sz w:val="14"/>
              </w:rPr>
            </w:pPr>
            <w:r>
              <w:rPr>
                <w:color w:val="151515"/>
                <w:sz w:val="14"/>
              </w:rPr>
              <w:t>0.414</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75.30</w:t>
            </w:r>
          </w:p>
        </w:tc>
      </w:tr>
      <w:tr>
        <w:trPr>
          <w:trHeight w:val="212" w:hRule="atLeast"/>
        </w:trPr>
        <w:tc>
          <w:tcPr>
            <w:tcW w:w="1511" w:type="dxa"/>
            <w:tcBorders/>
          </w:tcPr>
          <w:p>
            <w:pPr>
              <w:pStyle w:val="TableParagraph"/>
              <w:spacing w:lineRule="exact" w:line="142" w:before="51" w:after="0"/>
              <w:rPr>
                <w:sz w:val="14"/>
              </w:rPr>
            </w:pPr>
            <w:r>
              <w:rPr>
                <w:color w:val="151515"/>
                <w:sz w:val="14"/>
              </w:rPr>
              <w:t>nnU-</w:t>
            </w:r>
            <w:r>
              <w:rPr>
                <w:color w:val="151515"/>
                <w:spacing w:val="-5"/>
                <w:sz w:val="14"/>
              </w:rPr>
              <w:t>Net</w:t>
            </w:r>
          </w:p>
        </w:tc>
        <w:tc>
          <w:tcPr>
            <w:tcW w:w="2143" w:type="dxa"/>
            <w:tcBorders/>
          </w:tcPr>
          <w:p>
            <w:pPr>
              <w:pStyle w:val="TableParagraph"/>
              <w:spacing w:lineRule="exact" w:line="142" w:before="51" w:after="0"/>
              <w:ind w:start="478"/>
              <w:rPr>
                <w:sz w:val="14"/>
              </w:rPr>
            </w:pPr>
            <w:r>
              <w:rPr>
                <w:color w:val="151515"/>
                <w:sz w:val="14"/>
              </w:rPr>
              <w:t>0.525</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7.52</w:t>
            </w:r>
          </w:p>
        </w:tc>
        <w:tc>
          <w:tcPr>
            <w:tcW w:w="1737" w:type="dxa"/>
            <w:tcBorders/>
          </w:tcPr>
          <w:p>
            <w:pPr>
              <w:pStyle w:val="TableParagraph"/>
              <w:spacing w:lineRule="exact" w:line="142" w:before="51" w:after="0"/>
              <w:ind w:start="270"/>
              <w:rPr>
                <w:sz w:val="14"/>
              </w:rPr>
            </w:pPr>
            <w:r>
              <w:rPr>
                <w:color w:val="151515"/>
                <w:sz w:val="14"/>
              </w:rPr>
              <w:t>0.874</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1.91</w:t>
            </w:r>
          </w:p>
        </w:tc>
        <w:tc>
          <w:tcPr>
            <w:tcW w:w="2029" w:type="dxa"/>
            <w:tcBorders/>
          </w:tcPr>
          <w:p>
            <w:pPr>
              <w:pStyle w:val="TableParagraph"/>
              <w:spacing w:lineRule="exact" w:line="142" w:before="51" w:after="0"/>
              <w:ind w:start="467"/>
              <w:rPr>
                <w:sz w:val="14"/>
              </w:rPr>
            </w:pPr>
            <w:r>
              <w:rPr>
                <w:color w:val="151515"/>
                <w:sz w:val="14"/>
              </w:rPr>
              <w:t>0.796</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1.50</w:t>
            </w:r>
          </w:p>
        </w:tc>
        <w:tc>
          <w:tcPr>
            <w:tcW w:w="2247" w:type="dxa"/>
            <w:tcBorders/>
          </w:tcPr>
          <w:p>
            <w:pPr>
              <w:pStyle w:val="TableParagraph"/>
              <w:spacing w:lineRule="exact" w:line="142" w:before="51" w:after="0"/>
              <w:ind w:start="371"/>
              <w:rPr>
                <w:sz w:val="14"/>
              </w:rPr>
            </w:pPr>
            <w:r>
              <w:rPr>
                <w:color w:val="151515"/>
                <w:sz w:val="14"/>
              </w:rPr>
              <w:t>0.620</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6.71</w:t>
            </w:r>
          </w:p>
        </w:tc>
      </w:tr>
    </w:tbl>
    <w:p>
      <w:pPr>
        <w:pStyle w:val="BodyText"/>
        <w:spacing w:lineRule="auto" w:line="302" w:before="56" w:after="0"/>
        <w:ind w:start="31" w:end="95"/>
        <w:rPr>
          <w:color w:val="151515"/>
        </w:rPr>
      </w:pPr>
      <w:r>
        <w:rPr>
          <w:color w:val="151515"/>
        </w:rPr>
      </w:r>
    </w:p>
    <w:p>
      <w:pPr>
        <w:pStyle w:val="BodyText"/>
        <w:spacing w:lineRule="auto" w:line="302" w:before="56" w:after="0"/>
        <w:ind w:start="31" w:end="95"/>
        <w:rPr>
          <w:color w:val="151515"/>
        </w:rPr>
      </w:pPr>
      <w:r>
        <w:rPr>
          <w:color w:val="151515"/>
        </w:rPr>
        <w:t>The cells show the mean per-patient Dice coefficient (equally weighted) / median per-patient HD95 in millimeters. The number of patients and scans with reference annotations was 145 patients (315 scans) for the non-enhancing tumor core, 202 (591) for FLAIR hyperintensity, 195 (546) for enhancing tissue, and 189 (520) for the cavity. HD95 excludes scans with empty predictions and should therefore be interpreted in conjunction with the number of undefined values ​​and the lesion sensitivity score.</w:t>
      </w:r>
    </w:p>
    <w:p>
      <w:pPr>
        <w:pStyle w:val="BodyText"/>
        <w:spacing w:lineRule="auto" w:line="302" w:before="128" w:after="0"/>
        <w:ind w:start="31" w:end="92"/>
        <w:rPr>
          <w:color w:val="151515"/>
        </w:rPr>
      </w:pPr>
      <w:r>
        <w:rPr>
          <w:color w:val="151515"/>
        </w:rPr>
        <w:t>Metrics characterizing the boundaries of the segmented regions demonstrated an even more pronounced advantage for nnU-Net compared to overlap-based metrics. The patient-level median HD95 for the combined tumor region was 2.83 mm for nnU-Net versus 23.42–39.33 mm for the benchmarked models; for the combined postoperative region, the corresponding values ​​were 2.00 mm versus 33.91–48.42 mm. The patient-level mean surface Dice coefficient at a 1 mm threshold for the combined tumor region was 0.875 for nnU-Net and 0.701–0.734 for the benchmarked models. Full tables of metrics—including IoU, precision, recall, mean surface distance, surface Dice coefficient, and indeterminate cases—are provided in the machine-readable results.</w:t>
      </w:r>
    </w:p>
    <w:p>
      <w:pPr>
        <w:pStyle w:val="BodyText"/>
        <w:spacing w:lineRule="auto" w:line="302" w:before="128" w:after="0"/>
        <w:ind w:start="31" w:end="92"/>
        <w:rPr>
          <w:color w:val="151515"/>
        </w:rPr>
        <w:sectPr>
          <w:headerReference w:type="even" ns5:id="rId4"/>
          <w:headerReference w:type="default" ns5:id="rId5"/>
          <w:headerReference w:type="first" ns5:id="rId6"/>
          <w:footerReference w:type="even" ns5:id="rId7"/>
          <w:footerReference w:type="default" ns5:id="rId8"/>
          <w:footerReference w:type="first" ns5:id="rId9"/>
          <w:type w:val="nextPage"/>
          <w:pgSz w:w="11906" w:h="16838"/>
          <w:pgMar w:left="1133" w:right="992" w:gutter="0" w:header="1600" w:top="1780" w:footer="1056" w:bottom="1240"/>
          <w:pgNumType w:fmt="decimal"/>
          <w:formProt w:val="false"/>
          <w:textDirection w:val="lrTb"/>
          <w:docGrid w:type="default" w:linePitch="100" w:charSpace="0"/>
        </w:sectPr>
      </w:pPr>
      <w:r>
        <w:rPr>
          <w:color w:val="151515"/>
        </w:rPr>
        <w:t>Overlap and lesion detection did not yield identical model rankings. The mean patient-level lesion sensitivity for the combined tumor region was 0.746 for nnU-Net, which was below the 0.796–0.827 range observed for the controlled models. For the cavity, this figure was 0.681, compared to 0.718–0.782 for the controlled models. nnU-Net also had a higher number of scans containing the target region where the surface distance remained undefined due to an empty prediction: 18 for the non-enhancing tumor core, seven for enhancing tissue, 25 for the cavity, and four for each of the combined regions. Thus, nnU-Net’s smoother and more conservative predictions reduced the burden associated with boundary errors and false positives but failed to detect every small component present in the reference annotation.</w:t>
      </w:r>
    </w:p>
    <w:p>
      <w:pPr>
        <w:pStyle w:val="BodyText"/>
        <w:spacing w:before="9" w:after="0"/>
        <w:ind w:start="0"/>
        <w:jc w:val="start"/>
        <w:rPr>
          <w:sz w:val="17"/>
        </w:rPr>
      </w:pPr>
      <w:r>
        <w:rPr>
          <w:sz w:val="17"/>
        </w:rPr>
      </w:r>
    </w:p>
    <w:p>
      <w:pPr>
        <w:pStyle w:val="Normal"/>
        <w:ind w:start="105"/>
        <w:rPr>
          <w:sz w:val="20"/>
        </w:rPr>
      </w:pPr>
      <w:r>
        <w:rPr/>
        <w:drawing>
          <ns2:inline distT="0" distB="0" distL="0" distR="0">
            <ns2:extent cx="5889625" cy="2597150"/>
            <ns2:effectExtent l="0" t="0" r="0" b="0"/>
            <ns2:docPr id="7" name="Image 5" descr="Target-specific overlap and boundary error"/>
            <ns2:cNvGraphicFramePr>
              <ns3:graphicFrameLocks noChangeAspect="1"/>
            </ns2:cNvGraphicFramePr>
            <ns3:graphic>
              <ns3:graphicData uri="http://schemas.openxmlformats.org/drawingml/2006/picture">
                <ns4:pic>
                  <ns4:nvPicPr>
                    <ns4:cNvPr id="7" name="Image 5" descr="Target-specific overlap and boundary error"/>
                    <ns4:cNvPicPr>
                      <ns3:picLocks noChangeAspect="1" noChangeArrowheads="1"/>
                    </ns4:cNvPicPr>
                  </ns4:nvPicPr>
                  <ns4:blipFill>
                    <ns3:blip ns5:embed="rId10"/>
                    <ns3:stretch>
                      <ns3:fillRect/>
                    </ns3:stretch>
                  </ns4:blipFill>
                  <ns4:spPr bwMode="auto">
                    <ns3:xfrm>
                      <ns3:off x="0" y="0"/>
                      <ns3:ext cx="5889625" cy="2597150"/>
                    </ns3:xfrm>
                    <ns3:prstGeom prst="rect">
                      <ns3:avLst/>
                    </ns3:prstGeom>
                    <ns3:noFill/>
                  </ns4:spPr>
                </ns4:pic>
              </ns3:graphicData>
            </ns3:graphic>
          </ns2:inline>
        </w:drawing>
      </w:r>
    </w:p>
    <w:p>
      <w:pPr>
        <w:pStyle w:val="BodyText"/>
        <w:spacing w:before="123" w:after="0"/>
        <w:ind w:start="0"/>
        <w:jc w:val="start"/>
        <w:rPr>
          <w:sz w:val="17"/>
        </w:rPr>
      </w:pPr>
      <w:r>
        <w:rPr>
          <w:sz w:val="17"/>
        </w:rPr>
      </w:r>
    </w:p>
    <w:p>
      <w:pPr>
        <w:pStyle w:val="Normal"/>
        <w:spacing w:lineRule="auto" w:line="286"/>
        <w:ind w:start="31"/>
        <w:jc w:val="both"/>
        <w:rPr>
          <w:rFonts w:ascii="Arial MT" w:hAnsi="Arial MT"/>
          <w:color w:val="151515"/>
          <w:w w:val="105"/>
          <w:sz w:val="17"/>
        </w:rPr>
      </w:pPr>
      <w:r>
        <w:rPr>
          <w:rFonts w:ascii="Arial MT" w:hAnsi="Arial MT"/>
          <w:color w:val="151515"/>
          <w:w w:val="105"/>
          <w:sz w:val="17"/>
        </w:rPr>
        <w:t>Figure 3. Results for target regions in scans with reference annotations. Panel A shows the mean Dice coefficient (weighted equally per patient) and exploratory 95% bootstrap confidence intervals. Panel B shows the median of patient-level median HD95 values ​​on a logarithmic scale; lower values ​​indicate better performance. Distance metrics are undefined if one or both surfaces are empty.</w:t>
      </w:r>
    </w:p>
    <w:p>
      <w:pPr>
        <w:pStyle w:val="Normal"/>
        <w:spacing w:lineRule="auto" w:line="286"/>
        <w:ind w:start="31"/>
        <w:rPr>
          <w:rFonts w:ascii="Arial MT" w:hAnsi="Arial MT"/>
          <w:color w:val="151515"/>
          <w:w w:val="105"/>
          <w:sz w:val="17"/>
        </w:rPr>
      </w:pPr>
      <w:r>
        <w:rPr>
          <w:rFonts w:ascii="Arial MT" w:hAnsi="Arial MT"/>
          <w:color w:val="151515"/>
          <w:w w:val="105"/>
          <w:sz w:val="17"/>
        </w:rPr>
      </w:r>
    </w:p>
    <w:p>
      <w:pPr>
        <w:pStyle w:val="ListParagraph"/>
        <w:numPr>
          <w:ilvl w:val="1"/>
          <w:numId w:val="3"/>
        </w:numPr>
        <w:outlineLvl w:val="1"/>
        <w:rPr>
          <w:b/>
        </w:rPr>
      </w:pPr>
      <w:bookmarkStart w:id="17" w:name="3.5_Absent-reference_behavior"/>
      <w:bookmarkEnd w:id="17"/>
      <w:r>
        <w:rPr>
          <w:b/>
        </w:rPr>
        <w:t>Absent-reference behavior</w:t>
      </w:r>
    </w:p>
    <w:p>
      <w:pPr>
        <w:pStyle w:val="BodyText"/>
        <w:spacing w:lineRule="auto" w:line="302"/>
        <w:ind w:start="31" w:end="93"/>
        <w:rPr>
          <w:color w:val="151515"/>
        </w:rPr>
      </w:pPr>
      <w:r>
        <w:rPr>
          <w:color w:val="151515"/>
        </w:rPr>
        <w:t>Reference annotations for the target region were absent in 279 scans for the non-enhancing tumor core, in 48 for enhancing tissue, and in 74 for the cavity. In these scans, nnU-Net predicted the absent target region in 22.2%, 52.1%, and 58.1% of cases, respectively. The corresponding ranges for controlled models were 56.3–76.0%, 95.8–100%, and 100% (Table 6 and Figure 4). The median volumes of predicted regions in scans lacking reference annotations were also lower for nnU-Net: 0 mL for the non-enhancing tumor core, 0.006 mL for enhancing tissue, and 0.002 mL for the cavity. For controlled models, the corresponding ranges were 0.015–0.043 mL, 0.130–0.401 mL, and 1.676–2.789 mL.</w:t>
      </w:r>
    </w:p>
    <w:p>
      <w:pPr>
        <w:pStyle w:val="BodyText"/>
        <w:spacing w:lineRule="auto" w:line="302"/>
        <w:ind w:start="31" w:end="93"/>
        <w:rPr>
          <w:color w:val="151515"/>
          <w:sz w:val="17"/>
          <w:szCs w:val="17"/>
        </w:rPr>
      </w:pPr>
      <w:r>
        <w:rPr>
          <w:color w:val="151515"/>
          <w:sz w:val="17"/>
          <w:szCs w:val="17"/>
        </w:rPr>
        <w:t>Table 6. Frequency of false-positive scans and volume of the predicted region in the absence of reference annotations</w:t>
      </w:r>
    </w:p>
    <w:p>
      <w:pPr>
        <w:pStyle w:val="BodyText"/>
        <w:spacing w:before="1" w:after="0"/>
        <w:ind w:start="0"/>
        <w:jc w:val="start"/>
        <w:rPr>
          <w:rFonts w:ascii="Arial MT" w:hAnsi="Arial MT"/>
          <w:sz w:val="11"/>
        </w:rPr>
      </w:pPr>
      <w:r>
        <w:rPr>
          <w:rFonts w:ascii="Arial MT" w:hAnsi="Arial MT"/>
          <w:sz w:val="11"/>
        </w:rPr>
      </w:r>
    </w:p>
    <w:tbl>
      <w:tblPr>
        <w:tblW w:w="9670"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1630"/>
        <w:gridCol w:w="2535"/>
        <w:gridCol w:w="2410"/>
        <w:gridCol w:w="3095"/>
      </w:tblGrid>
      <w:tr>
        <w:trPr>
          <w:trHeight w:val="270" w:hRule="atLeast"/>
        </w:trPr>
        <w:tc>
          <w:tcPr>
            <w:tcW w:w="1630" w:type="dxa"/>
            <w:tcBorders/>
            <w:shd w:color="auto" w:fill="EDF0F4" w:val="clear"/>
          </w:tcPr>
          <w:p>
            <w:pPr>
              <w:pStyle w:val="TableParagraph"/>
              <w:spacing w:before="42" w:after="0"/>
              <w:rPr>
                <w:rFonts w:ascii="Arial" w:hAnsi="Arial"/>
                <w:b/>
                <w:sz w:val="15"/>
              </w:rPr>
            </w:pPr>
            <w:r>
              <w:rPr>
                <w:rFonts w:ascii="Arial" w:hAnsi="Arial"/>
                <w:b/>
                <w:color w:val="151515"/>
                <w:spacing w:val="-2"/>
                <w:sz w:val="15"/>
              </w:rPr>
              <w:t>Model</w:t>
            </w:r>
          </w:p>
        </w:tc>
        <w:tc>
          <w:tcPr>
            <w:tcW w:w="2535" w:type="dxa"/>
            <w:tcBorders/>
            <w:shd w:color="auto" w:fill="EDF0F4" w:val="clear"/>
          </w:tcPr>
          <w:p>
            <w:pPr>
              <w:pStyle w:val="TableParagraph"/>
              <w:spacing w:before="42" w:after="0"/>
              <w:ind w:start="555"/>
              <w:rPr>
                <w:rFonts w:ascii="Arial" w:hAnsi="Arial"/>
                <w:b/>
                <w:sz w:val="15"/>
              </w:rPr>
            </w:pPr>
            <w:r>
              <w:rPr>
                <w:rFonts w:ascii="Arial" w:hAnsi="Arial"/>
                <w:b/>
                <w:color w:val="151515"/>
                <w:sz w:val="15"/>
              </w:rPr>
              <w:t>Non-enhancing</w:t>
            </w:r>
            <w:r>
              <w:rPr>
                <w:rFonts w:ascii="Arial" w:hAnsi="Arial"/>
                <w:b/>
                <w:color w:val="151515"/>
                <w:spacing w:val="-7"/>
                <w:sz w:val="15"/>
              </w:rPr>
              <w:t xml:space="preserve"> </w:t>
            </w:r>
            <w:r>
              <w:rPr>
                <w:rFonts w:ascii="Arial" w:hAnsi="Arial"/>
                <w:b/>
                <w:color w:val="151515"/>
                <w:spacing w:val="-4"/>
                <w:sz w:val="15"/>
              </w:rPr>
              <w:t>core</w:t>
            </w:r>
          </w:p>
        </w:tc>
        <w:tc>
          <w:tcPr>
            <w:tcW w:w="2410" w:type="dxa"/>
            <w:tcBorders/>
            <w:shd w:color="auto" w:fill="EDF0F4" w:val="clear"/>
          </w:tcPr>
          <w:p>
            <w:pPr>
              <w:pStyle w:val="TableParagraph"/>
              <w:spacing w:before="42" w:after="0"/>
              <w:ind w:start="532"/>
              <w:rPr>
                <w:rFonts w:ascii="Arial" w:hAnsi="Arial"/>
                <w:b/>
                <w:sz w:val="15"/>
              </w:rPr>
            </w:pPr>
            <w:r>
              <w:rPr>
                <w:rFonts w:ascii="Arial" w:hAnsi="Arial"/>
                <w:b/>
                <w:color w:val="151515"/>
                <w:sz w:val="15"/>
              </w:rPr>
              <w:t>Enhancing</w:t>
            </w:r>
            <w:r>
              <w:rPr>
                <w:rFonts w:ascii="Arial" w:hAnsi="Arial"/>
                <w:b/>
                <w:color w:val="151515"/>
                <w:spacing w:val="-7"/>
                <w:sz w:val="15"/>
              </w:rPr>
              <w:t xml:space="preserve"> </w:t>
            </w:r>
            <w:r>
              <w:rPr>
                <w:rFonts w:ascii="Arial" w:hAnsi="Arial"/>
                <w:b/>
                <w:color w:val="151515"/>
                <w:spacing w:val="-2"/>
                <w:sz w:val="15"/>
              </w:rPr>
              <w:t>tissue</w:t>
            </w:r>
          </w:p>
        </w:tc>
        <w:tc>
          <w:tcPr>
            <w:tcW w:w="3095" w:type="dxa"/>
            <w:tcBorders/>
            <w:shd w:color="auto" w:fill="EDF0F4" w:val="clear"/>
          </w:tcPr>
          <w:p>
            <w:pPr>
              <w:pStyle w:val="TableParagraph"/>
              <w:spacing w:before="42" w:after="0"/>
              <w:ind w:start="636"/>
              <w:rPr>
                <w:rFonts w:ascii="Arial" w:hAnsi="Arial"/>
                <w:b/>
                <w:sz w:val="15"/>
              </w:rPr>
            </w:pPr>
            <w:r>
              <w:rPr>
                <w:rFonts w:ascii="Arial" w:hAnsi="Arial"/>
                <w:b/>
                <w:color w:val="151515"/>
                <w:sz w:val="15"/>
              </w:rPr>
              <w:t>Resection</w:t>
            </w:r>
            <w:r>
              <w:rPr>
                <w:rFonts w:ascii="Arial" w:hAnsi="Arial"/>
                <w:b/>
                <w:color w:val="151515"/>
                <w:spacing w:val="-7"/>
                <w:sz w:val="15"/>
              </w:rPr>
              <w:t xml:space="preserve"> </w:t>
            </w:r>
            <w:r>
              <w:rPr>
                <w:rFonts w:ascii="Arial" w:hAnsi="Arial"/>
                <w:b/>
                <w:color w:val="151515"/>
                <w:spacing w:val="-2"/>
                <w:sz w:val="15"/>
              </w:rPr>
              <w:t>cavity</w:t>
            </w:r>
          </w:p>
        </w:tc>
      </w:tr>
      <w:tr>
        <w:trPr>
          <w:trHeight w:val="267" w:hRule="atLeast"/>
        </w:trPr>
        <w:tc>
          <w:tcPr>
            <w:tcW w:w="1630" w:type="dxa"/>
            <w:tcBorders/>
          </w:tcPr>
          <w:p>
            <w:pPr>
              <w:pStyle w:val="TableParagraph"/>
              <w:spacing w:before="43" w:after="0"/>
              <w:rPr>
                <w:sz w:val="15"/>
              </w:rPr>
            </w:pPr>
            <w:r>
              <w:rPr>
                <w:color w:val="151515"/>
                <w:sz w:val="15"/>
              </w:rPr>
              <w:t>3D</w:t>
            </w:r>
            <w:r>
              <w:rPr>
                <w:color w:val="151515"/>
                <w:spacing w:val="-6"/>
                <w:sz w:val="15"/>
              </w:rPr>
              <w:t xml:space="preserve"> </w:t>
            </w:r>
            <w:r>
              <w:rPr>
                <w:color w:val="151515"/>
                <w:sz w:val="15"/>
              </w:rPr>
              <w:t>U-</w:t>
            </w:r>
            <w:r>
              <w:rPr>
                <w:color w:val="151515"/>
                <w:spacing w:val="-5"/>
                <w:sz w:val="15"/>
              </w:rPr>
              <w:t>Net</w:t>
            </w:r>
          </w:p>
        </w:tc>
        <w:tc>
          <w:tcPr>
            <w:tcW w:w="2535" w:type="dxa"/>
            <w:tcBorders/>
          </w:tcPr>
          <w:p>
            <w:pPr>
              <w:pStyle w:val="TableParagraph"/>
              <w:spacing w:before="43" w:after="0"/>
              <w:ind w:start="555"/>
              <w:rPr>
                <w:sz w:val="15"/>
              </w:rPr>
            </w:pPr>
            <w:r>
              <w:rPr>
                <w:color w:val="151515"/>
                <w:sz w:val="15"/>
              </w:rPr>
              <w:t>63.1%</w:t>
            </w:r>
            <w:r>
              <w:rPr>
                <w:color w:val="151515"/>
                <w:spacing w:val="-3"/>
                <w:sz w:val="15"/>
              </w:rPr>
              <w:t xml:space="preserve"> </w:t>
            </w:r>
            <w:r>
              <w:rPr>
                <w:color w:val="151515"/>
                <w:sz w:val="15"/>
              </w:rPr>
              <w:t>/</w:t>
            </w:r>
            <w:r>
              <w:rPr>
                <w:color w:val="151515"/>
                <w:spacing w:val="-2"/>
                <w:sz w:val="15"/>
              </w:rPr>
              <w:t xml:space="preserve"> </w:t>
            </w:r>
            <w:r>
              <w:rPr>
                <w:color w:val="151515"/>
                <w:sz w:val="15"/>
              </w:rPr>
              <w:t>0.015</w:t>
            </w:r>
            <w:r>
              <w:rPr>
                <w:color w:val="151515"/>
                <w:spacing w:val="-2"/>
                <w:sz w:val="15"/>
              </w:rPr>
              <w:t xml:space="preserve"> </w:t>
            </w:r>
            <w:r>
              <w:rPr>
                <w:color w:val="151515"/>
                <w:spacing w:val="-5"/>
                <w:sz w:val="15"/>
              </w:rPr>
              <w:t>mL</w:t>
            </w:r>
          </w:p>
        </w:tc>
        <w:tc>
          <w:tcPr>
            <w:tcW w:w="2410" w:type="dxa"/>
            <w:tcBorders/>
          </w:tcPr>
          <w:p>
            <w:pPr>
              <w:pStyle w:val="TableParagraph"/>
              <w:spacing w:before="43" w:after="0"/>
              <w:ind w:start="532"/>
              <w:rPr>
                <w:sz w:val="15"/>
              </w:rPr>
            </w:pPr>
            <w:r>
              <w:rPr>
                <w:color w:val="151515"/>
                <w:sz w:val="15"/>
              </w:rPr>
              <w:t>100%</w:t>
            </w:r>
            <w:r>
              <w:rPr>
                <w:color w:val="151515"/>
                <w:spacing w:val="-3"/>
                <w:sz w:val="15"/>
              </w:rPr>
              <w:t xml:space="preserve"> </w:t>
            </w:r>
            <w:r>
              <w:rPr>
                <w:color w:val="151515"/>
                <w:sz w:val="15"/>
              </w:rPr>
              <w:t>/</w:t>
            </w:r>
            <w:r>
              <w:rPr>
                <w:color w:val="151515"/>
                <w:spacing w:val="-2"/>
                <w:sz w:val="15"/>
              </w:rPr>
              <w:t xml:space="preserve"> </w:t>
            </w:r>
            <w:r>
              <w:rPr>
                <w:color w:val="151515"/>
                <w:sz w:val="15"/>
              </w:rPr>
              <w:t>0.130</w:t>
            </w:r>
            <w:r>
              <w:rPr>
                <w:color w:val="151515"/>
                <w:spacing w:val="-2"/>
                <w:sz w:val="15"/>
              </w:rPr>
              <w:t xml:space="preserve"> </w:t>
            </w:r>
            <w:r>
              <w:rPr>
                <w:color w:val="151515"/>
                <w:spacing w:val="-5"/>
                <w:sz w:val="15"/>
              </w:rPr>
              <w:t>mL</w:t>
            </w:r>
          </w:p>
        </w:tc>
        <w:tc>
          <w:tcPr>
            <w:tcW w:w="3095" w:type="dxa"/>
            <w:tcBorders/>
          </w:tcPr>
          <w:p>
            <w:pPr>
              <w:pStyle w:val="TableParagraph"/>
              <w:spacing w:before="43" w:after="0"/>
              <w:ind w:start="636"/>
              <w:rPr>
                <w:sz w:val="15"/>
              </w:rPr>
            </w:pPr>
            <w:r>
              <w:rPr>
                <w:color w:val="151515"/>
                <w:sz w:val="15"/>
              </w:rPr>
              <w:t>100%</w:t>
            </w:r>
            <w:r>
              <w:rPr>
                <w:color w:val="151515"/>
                <w:spacing w:val="-3"/>
                <w:sz w:val="15"/>
              </w:rPr>
              <w:t xml:space="preserve"> </w:t>
            </w:r>
            <w:r>
              <w:rPr>
                <w:color w:val="151515"/>
                <w:sz w:val="15"/>
              </w:rPr>
              <w:t>/</w:t>
            </w:r>
            <w:r>
              <w:rPr>
                <w:color w:val="151515"/>
                <w:spacing w:val="-2"/>
                <w:sz w:val="15"/>
              </w:rPr>
              <w:t xml:space="preserve"> </w:t>
            </w:r>
            <w:r>
              <w:rPr>
                <w:color w:val="151515"/>
                <w:sz w:val="15"/>
              </w:rPr>
              <w:t>2.059</w:t>
            </w:r>
            <w:r>
              <w:rPr>
                <w:color w:val="151515"/>
                <w:spacing w:val="-2"/>
                <w:sz w:val="15"/>
              </w:rPr>
              <w:t xml:space="preserve"> </w:t>
            </w:r>
            <w:r>
              <w:rPr>
                <w:color w:val="151515"/>
                <w:spacing w:val="-5"/>
                <w:sz w:val="15"/>
              </w:rPr>
              <w:t>mL</w:t>
            </w:r>
          </w:p>
        </w:tc>
      </w:tr>
      <w:tr>
        <w:trPr>
          <w:trHeight w:val="271" w:hRule="atLeast"/>
        </w:trPr>
        <w:tc>
          <w:tcPr>
            <w:tcW w:w="1630" w:type="dxa"/>
            <w:tcBorders/>
          </w:tcPr>
          <w:p>
            <w:pPr>
              <w:pStyle w:val="TableParagraph"/>
              <w:spacing w:before="47" w:after="0"/>
              <w:rPr>
                <w:sz w:val="15"/>
              </w:rPr>
            </w:pPr>
            <w:r>
              <w:rPr>
                <w:color w:val="151515"/>
                <w:sz w:val="15"/>
              </w:rPr>
              <w:t>Residual</w:t>
            </w:r>
            <w:r>
              <w:rPr>
                <w:color w:val="151515"/>
                <w:spacing w:val="-8"/>
                <w:sz w:val="15"/>
              </w:rPr>
              <w:t xml:space="preserve"> </w:t>
            </w:r>
            <w:r>
              <w:rPr>
                <w:color w:val="151515"/>
                <w:sz w:val="15"/>
              </w:rPr>
              <w:t>U-</w:t>
            </w:r>
            <w:r>
              <w:rPr>
                <w:color w:val="151515"/>
                <w:spacing w:val="-5"/>
                <w:sz w:val="15"/>
              </w:rPr>
              <w:t>Net</w:t>
            </w:r>
          </w:p>
        </w:tc>
        <w:tc>
          <w:tcPr>
            <w:tcW w:w="2535" w:type="dxa"/>
            <w:tcBorders/>
          </w:tcPr>
          <w:p>
            <w:pPr>
              <w:pStyle w:val="TableParagraph"/>
              <w:spacing w:before="47" w:after="0"/>
              <w:ind w:start="555"/>
              <w:rPr>
                <w:sz w:val="15"/>
              </w:rPr>
            </w:pPr>
            <w:r>
              <w:rPr>
                <w:color w:val="151515"/>
                <w:sz w:val="15"/>
              </w:rPr>
              <w:t>56.3%</w:t>
            </w:r>
            <w:r>
              <w:rPr>
                <w:color w:val="151515"/>
                <w:spacing w:val="-3"/>
                <w:sz w:val="15"/>
              </w:rPr>
              <w:t xml:space="preserve"> </w:t>
            </w:r>
            <w:r>
              <w:rPr>
                <w:color w:val="151515"/>
                <w:sz w:val="15"/>
              </w:rPr>
              <w:t>/</w:t>
            </w:r>
            <w:r>
              <w:rPr>
                <w:color w:val="151515"/>
                <w:spacing w:val="-2"/>
                <w:sz w:val="15"/>
              </w:rPr>
              <w:t xml:space="preserve"> </w:t>
            </w:r>
            <w:r>
              <w:rPr>
                <w:color w:val="151515"/>
                <w:sz w:val="15"/>
              </w:rPr>
              <w:t>0.017</w:t>
            </w:r>
            <w:r>
              <w:rPr>
                <w:color w:val="151515"/>
                <w:spacing w:val="-2"/>
                <w:sz w:val="15"/>
              </w:rPr>
              <w:t xml:space="preserve"> </w:t>
            </w:r>
            <w:r>
              <w:rPr>
                <w:color w:val="151515"/>
                <w:spacing w:val="-5"/>
                <w:sz w:val="15"/>
              </w:rPr>
              <w:t>mL</w:t>
            </w:r>
          </w:p>
        </w:tc>
        <w:tc>
          <w:tcPr>
            <w:tcW w:w="2410" w:type="dxa"/>
            <w:tcBorders/>
          </w:tcPr>
          <w:p>
            <w:pPr>
              <w:pStyle w:val="TableParagraph"/>
              <w:spacing w:before="47" w:after="0"/>
              <w:ind w:start="532"/>
              <w:rPr>
                <w:sz w:val="15"/>
              </w:rPr>
            </w:pPr>
            <w:r>
              <w:rPr>
                <w:color w:val="151515"/>
                <w:sz w:val="15"/>
              </w:rPr>
              <w:t>95.8%</w:t>
            </w:r>
            <w:r>
              <w:rPr>
                <w:color w:val="151515"/>
                <w:spacing w:val="-3"/>
                <w:sz w:val="15"/>
              </w:rPr>
              <w:t xml:space="preserve"> </w:t>
            </w:r>
            <w:r>
              <w:rPr>
                <w:color w:val="151515"/>
                <w:sz w:val="15"/>
              </w:rPr>
              <w:t>/</w:t>
            </w:r>
            <w:r>
              <w:rPr>
                <w:color w:val="151515"/>
                <w:spacing w:val="-2"/>
                <w:sz w:val="15"/>
              </w:rPr>
              <w:t xml:space="preserve"> </w:t>
            </w:r>
            <w:r>
              <w:rPr>
                <w:color w:val="151515"/>
                <w:sz w:val="15"/>
              </w:rPr>
              <w:t>0.144</w:t>
            </w:r>
            <w:r>
              <w:rPr>
                <w:color w:val="151515"/>
                <w:spacing w:val="-2"/>
                <w:sz w:val="15"/>
              </w:rPr>
              <w:t xml:space="preserve"> </w:t>
            </w:r>
            <w:r>
              <w:rPr>
                <w:color w:val="151515"/>
                <w:spacing w:val="-5"/>
                <w:sz w:val="15"/>
              </w:rPr>
              <w:t>mL</w:t>
            </w:r>
          </w:p>
        </w:tc>
        <w:tc>
          <w:tcPr>
            <w:tcW w:w="3095" w:type="dxa"/>
            <w:tcBorders/>
          </w:tcPr>
          <w:p>
            <w:pPr>
              <w:pStyle w:val="TableParagraph"/>
              <w:spacing w:before="47" w:after="0"/>
              <w:ind w:start="636"/>
              <w:rPr>
                <w:sz w:val="15"/>
              </w:rPr>
            </w:pPr>
            <w:r>
              <w:rPr>
                <w:color w:val="151515"/>
                <w:sz w:val="15"/>
              </w:rPr>
              <w:t>100%</w:t>
            </w:r>
            <w:r>
              <w:rPr>
                <w:color w:val="151515"/>
                <w:spacing w:val="-3"/>
                <w:sz w:val="15"/>
              </w:rPr>
              <w:t xml:space="preserve"> </w:t>
            </w:r>
            <w:r>
              <w:rPr>
                <w:color w:val="151515"/>
                <w:sz w:val="15"/>
              </w:rPr>
              <w:t>/</w:t>
            </w:r>
            <w:r>
              <w:rPr>
                <w:color w:val="151515"/>
                <w:spacing w:val="-2"/>
                <w:sz w:val="15"/>
              </w:rPr>
              <w:t xml:space="preserve"> </w:t>
            </w:r>
            <w:r>
              <w:rPr>
                <w:color w:val="151515"/>
                <w:sz w:val="15"/>
              </w:rPr>
              <w:t>1.676</w:t>
            </w:r>
            <w:r>
              <w:rPr>
                <w:color w:val="151515"/>
                <w:spacing w:val="-2"/>
                <w:sz w:val="15"/>
              </w:rPr>
              <w:t xml:space="preserve"> </w:t>
            </w:r>
            <w:r>
              <w:rPr>
                <w:color w:val="151515"/>
                <w:spacing w:val="-5"/>
                <w:sz w:val="15"/>
              </w:rPr>
              <w:t>mL</w:t>
            </w:r>
          </w:p>
        </w:tc>
      </w:tr>
      <w:tr>
        <w:trPr>
          <w:trHeight w:val="272" w:hRule="atLeast"/>
        </w:trPr>
        <w:tc>
          <w:tcPr>
            <w:tcW w:w="1630" w:type="dxa"/>
            <w:tcBorders/>
          </w:tcPr>
          <w:p>
            <w:pPr>
              <w:pStyle w:val="TableParagraph"/>
              <w:spacing w:before="47" w:after="0"/>
              <w:rPr>
                <w:sz w:val="15"/>
              </w:rPr>
            </w:pPr>
            <w:r>
              <w:rPr>
                <w:color w:val="151515"/>
                <w:spacing w:val="-2"/>
                <w:sz w:val="15"/>
              </w:rPr>
              <w:t>V-</w:t>
            </w:r>
            <w:r>
              <w:rPr>
                <w:color w:val="151515"/>
                <w:spacing w:val="-5"/>
                <w:sz w:val="15"/>
              </w:rPr>
              <w:t>Net</w:t>
            </w:r>
          </w:p>
        </w:tc>
        <w:tc>
          <w:tcPr>
            <w:tcW w:w="2535" w:type="dxa"/>
            <w:tcBorders/>
          </w:tcPr>
          <w:p>
            <w:pPr>
              <w:pStyle w:val="TableParagraph"/>
              <w:spacing w:before="47" w:after="0"/>
              <w:ind w:start="555"/>
              <w:rPr>
                <w:sz w:val="15"/>
              </w:rPr>
            </w:pPr>
            <w:r>
              <w:rPr>
                <w:color w:val="151515"/>
                <w:sz w:val="15"/>
              </w:rPr>
              <w:t>76.0%</w:t>
            </w:r>
            <w:r>
              <w:rPr>
                <w:color w:val="151515"/>
                <w:spacing w:val="-3"/>
                <w:sz w:val="15"/>
              </w:rPr>
              <w:t xml:space="preserve"> </w:t>
            </w:r>
            <w:r>
              <w:rPr>
                <w:color w:val="151515"/>
                <w:sz w:val="15"/>
              </w:rPr>
              <w:t>/</w:t>
            </w:r>
            <w:r>
              <w:rPr>
                <w:color w:val="151515"/>
                <w:spacing w:val="-2"/>
                <w:sz w:val="15"/>
              </w:rPr>
              <w:t xml:space="preserve"> </w:t>
            </w:r>
            <w:r>
              <w:rPr>
                <w:color w:val="151515"/>
                <w:sz w:val="15"/>
              </w:rPr>
              <w:t>0.030</w:t>
            </w:r>
            <w:r>
              <w:rPr>
                <w:color w:val="151515"/>
                <w:spacing w:val="-2"/>
                <w:sz w:val="15"/>
              </w:rPr>
              <w:t xml:space="preserve"> </w:t>
            </w:r>
            <w:r>
              <w:rPr>
                <w:color w:val="151515"/>
                <w:spacing w:val="-5"/>
                <w:sz w:val="15"/>
              </w:rPr>
              <w:t>mL</w:t>
            </w:r>
          </w:p>
        </w:tc>
        <w:tc>
          <w:tcPr>
            <w:tcW w:w="2410" w:type="dxa"/>
            <w:tcBorders/>
          </w:tcPr>
          <w:p>
            <w:pPr>
              <w:pStyle w:val="TableParagraph"/>
              <w:spacing w:before="47" w:after="0"/>
              <w:ind w:start="532"/>
              <w:rPr>
                <w:sz w:val="15"/>
              </w:rPr>
            </w:pPr>
            <w:r>
              <w:rPr>
                <w:color w:val="151515"/>
                <w:sz w:val="15"/>
              </w:rPr>
              <w:t>97.9%</w:t>
            </w:r>
            <w:r>
              <w:rPr>
                <w:color w:val="151515"/>
                <w:spacing w:val="-3"/>
                <w:sz w:val="15"/>
              </w:rPr>
              <w:t xml:space="preserve"> </w:t>
            </w:r>
            <w:r>
              <w:rPr>
                <w:color w:val="151515"/>
                <w:sz w:val="15"/>
              </w:rPr>
              <w:t>/</w:t>
            </w:r>
            <w:r>
              <w:rPr>
                <w:color w:val="151515"/>
                <w:spacing w:val="-2"/>
                <w:sz w:val="15"/>
              </w:rPr>
              <w:t xml:space="preserve"> </w:t>
            </w:r>
            <w:r>
              <w:rPr>
                <w:color w:val="151515"/>
                <w:sz w:val="15"/>
              </w:rPr>
              <w:t>0.157</w:t>
            </w:r>
            <w:r>
              <w:rPr>
                <w:color w:val="151515"/>
                <w:spacing w:val="-2"/>
                <w:sz w:val="15"/>
              </w:rPr>
              <w:t xml:space="preserve"> </w:t>
            </w:r>
            <w:r>
              <w:rPr>
                <w:color w:val="151515"/>
                <w:spacing w:val="-5"/>
                <w:sz w:val="15"/>
              </w:rPr>
              <w:t>mL</w:t>
            </w:r>
          </w:p>
        </w:tc>
        <w:tc>
          <w:tcPr>
            <w:tcW w:w="3095" w:type="dxa"/>
            <w:tcBorders/>
          </w:tcPr>
          <w:p>
            <w:pPr>
              <w:pStyle w:val="TableParagraph"/>
              <w:spacing w:before="47" w:after="0"/>
              <w:ind w:start="636"/>
              <w:rPr>
                <w:sz w:val="15"/>
              </w:rPr>
            </w:pPr>
            <w:r>
              <w:rPr>
                <w:color w:val="151515"/>
                <w:sz w:val="15"/>
              </w:rPr>
              <w:t>100%</w:t>
            </w:r>
            <w:r>
              <w:rPr>
                <w:color w:val="151515"/>
                <w:spacing w:val="-3"/>
                <w:sz w:val="15"/>
              </w:rPr>
              <w:t xml:space="preserve"> </w:t>
            </w:r>
            <w:r>
              <w:rPr>
                <w:color w:val="151515"/>
                <w:sz w:val="15"/>
              </w:rPr>
              <w:t>/</w:t>
            </w:r>
            <w:r>
              <w:rPr>
                <w:color w:val="151515"/>
                <w:spacing w:val="-2"/>
                <w:sz w:val="15"/>
              </w:rPr>
              <w:t xml:space="preserve"> </w:t>
            </w:r>
            <w:r>
              <w:rPr>
                <w:color w:val="151515"/>
                <w:sz w:val="15"/>
              </w:rPr>
              <w:t>2.789</w:t>
            </w:r>
            <w:r>
              <w:rPr>
                <w:color w:val="151515"/>
                <w:spacing w:val="-2"/>
                <w:sz w:val="15"/>
              </w:rPr>
              <w:t xml:space="preserve"> </w:t>
            </w:r>
            <w:r>
              <w:rPr>
                <w:color w:val="151515"/>
                <w:spacing w:val="-5"/>
                <w:sz w:val="15"/>
              </w:rPr>
              <w:t>mL</w:t>
            </w:r>
          </w:p>
        </w:tc>
      </w:tr>
      <w:tr>
        <w:trPr>
          <w:trHeight w:val="272" w:hRule="atLeast"/>
        </w:trPr>
        <w:tc>
          <w:tcPr>
            <w:tcW w:w="1630" w:type="dxa"/>
            <w:tcBorders/>
          </w:tcPr>
          <w:p>
            <w:pPr>
              <w:pStyle w:val="TableParagraph"/>
              <w:spacing w:before="47" w:after="0"/>
              <w:rPr>
                <w:sz w:val="15"/>
              </w:rPr>
            </w:pPr>
            <w:r>
              <w:rPr>
                <w:color w:val="151515"/>
                <w:spacing w:val="-2"/>
                <w:sz w:val="15"/>
              </w:rPr>
              <w:t>U-Net++</w:t>
            </w:r>
          </w:p>
        </w:tc>
        <w:tc>
          <w:tcPr>
            <w:tcW w:w="2535" w:type="dxa"/>
            <w:tcBorders/>
          </w:tcPr>
          <w:p>
            <w:pPr>
              <w:pStyle w:val="TableParagraph"/>
              <w:spacing w:before="47" w:after="0"/>
              <w:ind w:start="555"/>
              <w:rPr>
                <w:sz w:val="15"/>
              </w:rPr>
            </w:pPr>
            <w:r>
              <w:rPr>
                <w:color w:val="151515"/>
                <w:sz w:val="15"/>
              </w:rPr>
              <w:t>71.0%</w:t>
            </w:r>
            <w:r>
              <w:rPr>
                <w:color w:val="151515"/>
                <w:spacing w:val="-3"/>
                <w:sz w:val="15"/>
              </w:rPr>
              <w:t xml:space="preserve"> </w:t>
            </w:r>
            <w:r>
              <w:rPr>
                <w:color w:val="151515"/>
                <w:sz w:val="15"/>
              </w:rPr>
              <w:t>/</w:t>
            </w:r>
            <w:r>
              <w:rPr>
                <w:color w:val="151515"/>
                <w:spacing w:val="-2"/>
                <w:sz w:val="15"/>
              </w:rPr>
              <w:t xml:space="preserve"> </w:t>
            </w:r>
            <w:r>
              <w:rPr>
                <w:color w:val="151515"/>
                <w:sz w:val="15"/>
              </w:rPr>
              <w:t>0.043</w:t>
            </w:r>
            <w:r>
              <w:rPr>
                <w:color w:val="151515"/>
                <w:spacing w:val="-2"/>
                <w:sz w:val="15"/>
              </w:rPr>
              <w:t xml:space="preserve"> </w:t>
            </w:r>
            <w:r>
              <w:rPr>
                <w:color w:val="151515"/>
                <w:spacing w:val="-5"/>
                <w:sz w:val="15"/>
              </w:rPr>
              <w:t>mL</w:t>
            </w:r>
          </w:p>
        </w:tc>
        <w:tc>
          <w:tcPr>
            <w:tcW w:w="2410" w:type="dxa"/>
            <w:tcBorders/>
          </w:tcPr>
          <w:p>
            <w:pPr>
              <w:pStyle w:val="TableParagraph"/>
              <w:spacing w:before="47" w:after="0"/>
              <w:ind w:start="532"/>
              <w:rPr>
                <w:sz w:val="15"/>
              </w:rPr>
            </w:pPr>
            <w:r>
              <w:rPr>
                <w:color w:val="151515"/>
                <w:sz w:val="15"/>
              </w:rPr>
              <w:t>95.8%</w:t>
            </w:r>
            <w:r>
              <w:rPr>
                <w:color w:val="151515"/>
                <w:spacing w:val="-3"/>
                <w:sz w:val="15"/>
              </w:rPr>
              <w:t xml:space="preserve"> </w:t>
            </w:r>
            <w:r>
              <w:rPr>
                <w:color w:val="151515"/>
                <w:sz w:val="15"/>
              </w:rPr>
              <w:t>/</w:t>
            </w:r>
            <w:r>
              <w:rPr>
                <w:color w:val="151515"/>
                <w:spacing w:val="-2"/>
                <w:sz w:val="15"/>
              </w:rPr>
              <w:t xml:space="preserve"> </w:t>
            </w:r>
            <w:r>
              <w:rPr>
                <w:color w:val="151515"/>
                <w:sz w:val="15"/>
              </w:rPr>
              <w:t>0.401</w:t>
            </w:r>
            <w:r>
              <w:rPr>
                <w:color w:val="151515"/>
                <w:spacing w:val="-2"/>
                <w:sz w:val="15"/>
              </w:rPr>
              <w:t xml:space="preserve"> </w:t>
            </w:r>
            <w:r>
              <w:rPr>
                <w:color w:val="151515"/>
                <w:spacing w:val="-5"/>
                <w:sz w:val="15"/>
              </w:rPr>
              <w:t>mL</w:t>
            </w:r>
          </w:p>
        </w:tc>
        <w:tc>
          <w:tcPr>
            <w:tcW w:w="3095" w:type="dxa"/>
            <w:tcBorders/>
          </w:tcPr>
          <w:p>
            <w:pPr>
              <w:pStyle w:val="TableParagraph"/>
              <w:spacing w:before="47" w:after="0"/>
              <w:ind w:start="636"/>
              <w:rPr>
                <w:sz w:val="15"/>
              </w:rPr>
            </w:pPr>
            <w:r>
              <w:rPr>
                <w:color w:val="151515"/>
                <w:sz w:val="15"/>
              </w:rPr>
              <w:t>100%</w:t>
            </w:r>
            <w:r>
              <w:rPr>
                <w:color w:val="151515"/>
                <w:spacing w:val="-3"/>
                <w:sz w:val="15"/>
              </w:rPr>
              <w:t xml:space="preserve"> </w:t>
            </w:r>
            <w:r>
              <w:rPr>
                <w:color w:val="151515"/>
                <w:sz w:val="15"/>
              </w:rPr>
              <w:t>/</w:t>
            </w:r>
            <w:r>
              <w:rPr>
                <w:color w:val="151515"/>
                <w:spacing w:val="-2"/>
                <w:sz w:val="15"/>
              </w:rPr>
              <w:t xml:space="preserve"> </w:t>
            </w:r>
            <w:r>
              <w:rPr>
                <w:color w:val="151515"/>
                <w:sz w:val="15"/>
              </w:rPr>
              <w:t>2.658</w:t>
            </w:r>
            <w:r>
              <w:rPr>
                <w:color w:val="151515"/>
                <w:spacing w:val="-2"/>
                <w:sz w:val="15"/>
              </w:rPr>
              <w:t xml:space="preserve"> </w:t>
            </w:r>
            <w:r>
              <w:rPr>
                <w:color w:val="151515"/>
                <w:spacing w:val="-5"/>
                <w:sz w:val="15"/>
              </w:rPr>
              <w:t>mL</w:t>
            </w:r>
          </w:p>
        </w:tc>
      </w:tr>
      <w:tr>
        <w:trPr>
          <w:trHeight w:val="219" w:hRule="atLeast"/>
        </w:trPr>
        <w:tc>
          <w:tcPr>
            <w:tcW w:w="1630" w:type="dxa"/>
            <w:tcBorders/>
          </w:tcPr>
          <w:p>
            <w:pPr>
              <w:pStyle w:val="TableParagraph"/>
              <w:spacing w:lineRule="exact" w:line="152" w:before="47" w:after="0"/>
              <w:rPr>
                <w:sz w:val="15"/>
              </w:rPr>
            </w:pPr>
            <w:r>
              <w:rPr>
                <w:color w:val="151515"/>
                <w:spacing w:val="-2"/>
                <w:sz w:val="15"/>
              </w:rPr>
              <w:t>nnU-</w:t>
            </w:r>
            <w:r>
              <w:rPr>
                <w:color w:val="151515"/>
                <w:spacing w:val="-5"/>
                <w:sz w:val="15"/>
              </w:rPr>
              <w:t>Net</w:t>
            </w:r>
          </w:p>
        </w:tc>
        <w:tc>
          <w:tcPr>
            <w:tcW w:w="2535" w:type="dxa"/>
            <w:tcBorders/>
          </w:tcPr>
          <w:p>
            <w:pPr>
              <w:pStyle w:val="TableParagraph"/>
              <w:spacing w:lineRule="exact" w:line="152" w:before="47" w:after="0"/>
              <w:ind w:start="555"/>
              <w:rPr>
                <w:sz w:val="15"/>
              </w:rPr>
            </w:pPr>
            <w:r>
              <w:rPr>
                <w:color w:val="151515"/>
                <w:sz w:val="15"/>
              </w:rPr>
              <w:t>22.2%</w:t>
            </w:r>
            <w:r>
              <w:rPr>
                <w:color w:val="151515"/>
                <w:spacing w:val="-3"/>
                <w:sz w:val="15"/>
              </w:rPr>
              <w:t xml:space="preserve"> </w:t>
            </w:r>
            <w:r>
              <w:rPr>
                <w:color w:val="151515"/>
                <w:sz w:val="15"/>
              </w:rPr>
              <w:t>/</w:t>
            </w:r>
            <w:r>
              <w:rPr>
                <w:color w:val="151515"/>
                <w:spacing w:val="-2"/>
                <w:sz w:val="15"/>
              </w:rPr>
              <w:t xml:space="preserve"> </w:t>
            </w:r>
            <w:r>
              <w:rPr>
                <w:color w:val="151515"/>
                <w:sz w:val="15"/>
              </w:rPr>
              <w:t>0.000</w:t>
            </w:r>
            <w:r>
              <w:rPr>
                <w:color w:val="151515"/>
                <w:spacing w:val="-2"/>
                <w:sz w:val="15"/>
              </w:rPr>
              <w:t xml:space="preserve"> </w:t>
            </w:r>
            <w:r>
              <w:rPr>
                <w:color w:val="151515"/>
                <w:spacing w:val="-5"/>
                <w:sz w:val="15"/>
              </w:rPr>
              <w:t>mL</w:t>
            </w:r>
          </w:p>
        </w:tc>
        <w:tc>
          <w:tcPr>
            <w:tcW w:w="2410" w:type="dxa"/>
            <w:tcBorders/>
          </w:tcPr>
          <w:p>
            <w:pPr>
              <w:pStyle w:val="TableParagraph"/>
              <w:spacing w:lineRule="exact" w:line="152" w:before="47" w:after="0"/>
              <w:ind w:start="532"/>
              <w:rPr>
                <w:sz w:val="15"/>
              </w:rPr>
            </w:pPr>
            <w:r>
              <w:rPr>
                <w:color w:val="151515"/>
                <w:sz w:val="15"/>
              </w:rPr>
              <w:t>52.1%</w:t>
            </w:r>
            <w:r>
              <w:rPr>
                <w:color w:val="151515"/>
                <w:spacing w:val="-3"/>
                <w:sz w:val="15"/>
              </w:rPr>
              <w:t xml:space="preserve"> </w:t>
            </w:r>
            <w:r>
              <w:rPr>
                <w:color w:val="151515"/>
                <w:sz w:val="15"/>
              </w:rPr>
              <w:t>/</w:t>
            </w:r>
            <w:r>
              <w:rPr>
                <w:color w:val="151515"/>
                <w:spacing w:val="-2"/>
                <w:sz w:val="15"/>
              </w:rPr>
              <w:t xml:space="preserve"> </w:t>
            </w:r>
            <w:r>
              <w:rPr>
                <w:color w:val="151515"/>
                <w:sz w:val="15"/>
              </w:rPr>
              <w:t>0.006</w:t>
            </w:r>
            <w:r>
              <w:rPr>
                <w:color w:val="151515"/>
                <w:spacing w:val="-2"/>
                <w:sz w:val="15"/>
              </w:rPr>
              <w:t xml:space="preserve"> </w:t>
            </w:r>
            <w:r>
              <w:rPr>
                <w:color w:val="151515"/>
                <w:spacing w:val="-5"/>
                <w:sz w:val="15"/>
              </w:rPr>
              <w:t>mL</w:t>
            </w:r>
          </w:p>
        </w:tc>
        <w:tc>
          <w:tcPr>
            <w:tcW w:w="3095" w:type="dxa"/>
            <w:tcBorders/>
          </w:tcPr>
          <w:p>
            <w:pPr>
              <w:pStyle w:val="TableParagraph"/>
              <w:spacing w:lineRule="exact" w:line="152" w:before="47" w:after="0"/>
              <w:ind w:start="636"/>
              <w:rPr>
                <w:sz w:val="15"/>
              </w:rPr>
            </w:pPr>
            <w:r>
              <w:rPr>
                <w:color w:val="151515"/>
                <w:sz w:val="15"/>
              </w:rPr>
              <w:t>58.1%</w:t>
            </w:r>
            <w:r>
              <w:rPr>
                <w:color w:val="151515"/>
                <w:spacing w:val="-3"/>
                <w:sz w:val="15"/>
              </w:rPr>
              <w:t xml:space="preserve"> </w:t>
            </w:r>
            <w:r>
              <w:rPr>
                <w:color w:val="151515"/>
                <w:sz w:val="15"/>
              </w:rPr>
              <w:t>/</w:t>
            </w:r>
            <w:r>
              <w:rPr>
                <w:color w:val="151515"/>
                <w:spacing w:val="-2"/>
                <w:sz w:val="15"/>
              </w:rPr>
              <w:t xml:space="preserve"> </w:t>
            </w:r>
            <w:r>
              <w:rPr>
                <w:color w:val="151515"/>
                <w:sz w:val="15"/>
              </w:rPr>
              <w:t>0.002</w:t>
            </w:r>
            <w:r>
              <w:rPr>
                <w:color w:val="151515"/>
                <w:spacing w:val="-2"/>
                <w:sz w:val="15"/>
              </w:rPr>
              <w:t xml:space="preserve"> </w:t>
            </w:r>
            <w:r>
              <w:rPr>
                <w:color w:val="151515"/>
                <w:spacing w:val="-5"/>
                <w:sz w:val="15"/>
              </w:rPr>
              <w:t>mL</w:t>
            </w:r>
          </w:p>
        </w:tc>
      </w:tr>
    </w:tbl>
    <w:p>
      <w:pPr>
        <w:pStyle w:val="BodyText"/>
        <w:spacing w:lineRule="auto" w:line="302" w:before="58" w:after="0"/>
        <w:ind w:start="31" w:end="93"/>
        <w:rPr>
          <w:color w:val="151515"/>
        </w:rPr>
      </w:pPr>
      <w:r>
        <w:rPr>
          <w:color w:val="151515"/>
        </w:rPr>
      </w:r>
    </w:p>
    <w:p>
      <w:pPr>
        <w:pStyle w:val="BodyText"/>
        <w:spacing w:lineRule="auto" w:line="302" w:before="58" w:after="0"/>
        <w:ind w:start="31" w:end="93"/>
        <w:rPr>
          <w:color w:val="151515"/>
        </w:rPr>
        <w:sectPr>
          <w:headerReference w:type="even" ns5:id="rId11"/>
          <w:headerReference w:type="default" ns5:id="rId12"/>
          <w:headerReference w:type="first" ns5:id="rId13"/>
          <w:footerReference w:type="even" ns5:id="rId14"/>
          <w:footerReference w:type="default" ns5:id="rId15"/>
          <w:footerReference w:type="first" ns5:id="rId16"/>
          <w:type w:val="nextPage"/>
          <w:pgSz w:w="11906" w:h="16838"/>
          <w:pgMar w:left="1133" w:right="992" w:gutter="0" w:header="1600" w:top="1780" w:footer="1056" w:bottom="1240"/>
          <w:pgNumType w:fmt="decimal"/>
          <w:formProt w:val="false"/>
          <w:textDirection w:val="lrTb"/>
          <w:docGrid w:type="default" w:linePitch="100" w:charSpace="0"/>
        </w:sectPr>
      </w:pPr>
      <w:r>
        <w:rPr>
          <w:color w:val="151515"/>
        </w:rPr>
        <w:t>The cells show the frequency of false-positive scans / median volume of the predicted region across all scans lacking reference annotations. Wilson 95% confidence intervals are presented in Figure 4. At the patient level, 122, 29, and 43 patients had at least one scan lacking a non-enhancing tumor core, enhancing tissue, and a cavity, respectively. nnU-Net yielded at least one false-positive result in 39.3%, 65.5%, and 67.4% of these patients; the corresponding ranges for the controlled models were 75.4–91.0%, 96.6–100%, and 100%. FLAIR hyperintensity was absent in only three scans from a single patient, precluding an accurate interpretation.</w:t>
      </w:r>
    </w:p>
    <w:p>
      <w:pPr>
        <w:pStyle w:val="BodyText"/>
        <w:spacing w:before="0" w:after="0"/>
        <w:ind w:start="0"/>
        <w:jc w:val="start"/>
        <w:rPr>
          <w:sz w:val="19"/>
        </w:rPr>
      </w:pPr>
      <w:r>
        <w:rPr>
          <w:sz w:val="19"/>
        </w:rPr>
      </w:r>
    </w:p>
    <w:p>
      <w:pPr>
        <w:pStyle w:val="Normal"/>
        <w:ind w:start="105"/>
        <w:rPr>
          <w:sz w:val="20"/>
        </w:rPr>
      </w:pPr>
      <w:r>
        <w:rPr/>
        <w:drawing>
          <ns2:inline distT="0" distB="0" distL="0" distR="0">
            <ns2:extent cx="5876290" cy="2929255"/>
            <ns2:effectExtent l="0" t="0" r="0" b="0"/>
            <ns2:docPr id="12" name="Image 6" descr="Absent-reference false-positive rates"/>
            <ns2:cNvGraphicFramePr>
              <ns3:graphicFrameLocks noChangeAspect="1"/>
            </ns2:cNvGraphicFramePr>
            <ns3:graphic>
              <ns3:graphicData uri="http://schemas.openxmlformats.org/drawingml/2006/picture">
                <ns4:pic>
                  <ns4:nvPicPr>
                    <ns4:cNvPr id="12" name="Image 6" descr="Absent-reference false-positive rates"/>
                    <ns4:cNvPicPr>
                      <ns3:picLocks noChangeAspect="1" noChangeArrowheads="1"/>
                    </ns4:cNvPicPr>
                  </ns4:nvPicPr>
                  <ns4:blipFill>
                    <ns3:blip ns5:embed="rId17"/>
                    <ns3:stretch>
                      <ns3:fillRect/>
                    </ns3:stretch>
                  </ns4:blipFill>
                  <ns4:spPr bwMode="auto">
                    <ns3:xfrm>
                      <ns3:off x="0" y="0"/>
                      <ns3:ext cx="5876290" cy="2929255"/>
                    </ns3:xfrm>
                    <ns3:prstGeom prst="rect">
                      <ns3:avLst/>
                    </ns3:prstGeom>
                    <ns3:noFill/>
                  </ns4:spPr>
                </ns4:pic>
              </ns3:graphicData>
            </ns3:graphic>
          </ns2:inline>
        </w:drawing>
      </w:r>
    </w:p>
    <w:p>
      <w:pPr>
        <w:pStyle w:val="BodyText"/>
        <w:spacing w:before="192" w:after="0"/>
        <w:ind w:start="0"/>
        <w:jc w:val="start"/>
        <w:rPr>
          <w:sz w:val="17"/>
        </w:rPr>
      </w:pPr>
      <w:r>
        <w:rPr>
          <w:sz w:val="17"/>
        </w:rPr>
      </w:r>
    </w:p>
    <w:p>
      <w:pPr>
        <w:pStyle w:val="Normal"/>
        <w:spacing w:lineRule="auto" w:line="286"/>
        <w:ind w:start="31"/>
        <w:rPr>
          <w:rFonts w:ascii="Arial MT" w:hAnsi="Arial MT"/>
          <w:color w:val="151515"/>
          <w:w w:val="105"/>
          <w:sz w:val="17"/>
        </w:rPr>
      </w:pPr>
      <w:r>
        <w:rPr>
          <w:rFonts w:ascii="Arial MT" w:hAnsi="Arial MT"/>
          <w:color w:val="151515"/>
          <w:w w:val="105"/>
          <w:sz w:val="17"/>
        </w:rPr>
        <w:t>Figure 4. Predictions in the absence of a reference target region. Data points show the false-positive rate at the scan level and the Wilson 95% confidence interval. Scans without reference annotations were excluded from the calculation of average overlap metrics. Confidence intervals for enhancing tissue and the cavity remain wider than those for the non-enhancing tumor core because their denominators are smaller.</w:t>
      </w:r>
    </w:p>
    <w:p>
      <w:pPr>
        <w:pStyle w:val="Normal"/>
        <w:spacing w:lineRule="auto" w:line="286"/>
        <w:ind w:start="31"/>
        <w:rPr>
          <w:rFonts w:ascii="Arial MT" w:hAnsi="Arial MT"/>
          <w:color w:val="151515"/>
          <w:w w:val="105"/>
          <w:sz w:val="17"/>
        </w:rPr>
      </w:pPr>
      <w:r>
        <w:rPr>
          <w:rFonts w:ascii="Arial MT" w:hAnsi="Arial MT"/>
          <w:color w:val="151515"/>
          <w:w w:val="105"/>
          <w:sz w:val="17"/>
        </w:rPr>
      </w:r>
    </w:p>
    <w:p>
      <w:pPr>
        <w:pStyle w:val="ListParagraph"/>
        <w:numPr>
          <w:ilvl w:val="1"/>
          <w:numId w:val="3"/>
        </w:numPr>
        <w:outlineLvl w:val="1"/>
        <w:rPr>
          <w:b/>
        </w:rPr>
      </w:pPr>
      <w:bookmarkStart w:id="18" w:name="3.6_Sensitivity_to_prior_inspection,_fol"/>
      <w:bookmarkEnd w:id="18"/>
      <w:r>
        <w:rPr>
          <w:b/>
        </w:rPr>
        <w:t>Sensitivity to prior inspection, fold, and training seed</w:t>
      </w:r>
    </w:p>
    <w:p>
      <w:pPr>
        <w:pStyle w:val="BodyText"/>
        <w:spacing w:lineRule="auto" w:line="302"/>
        <w:ind w:start="31" w:end="97"/>
        <w:rPr>
          <w:color w:val="151515"/>
        </w:rPr>
      </w:pPr>
      <w:r>
        <w:rPr>
          <w:color w:val="151515"/>
        </w:rPr>
        <w:t>Excluding the previously analyzed development hold-out set (comprising 41 patients) yielded similar results in the complementary subset of 162 patients: mean values ​​were 0.778 for 3D U-Net, 0.789 for Residual U-Net, 0.783 for V-Net, 0.765 for U-Net++, and 0.882 for nnU-Net. The median difference between nnU-Net and Residual U-Net was 0.074 (95% bootstrap confidence interval, 0.066–0.089; P = 1.94 × 10⁻²⁶). The direction of the differences between the evaluated models also remained unchanged. This sensitivity analysis reduces the likelihood that the primary result was driven by the prior examination of this development subset.</w:t>
      </w:r>
    </w:p>
    <w:p>
      <w:pPr>
        <w:pStyle w:val="BodyText"/>
        <w:spacing w:lineRule="auto" w:line="302"/>
        <w:ind w:start="31" w:end="97"/>
        <w:rPr>
          <w:color w:val="151515"/>
        </w:rPr>
      </w:pPr>
      <w:r>
        <w:rPr>
          <w:color w:val="151515"/>
        </w:rPr>
        <w:t>Average fold values ​​ranged from 0.759 to 0.795 for 3D U-Net, 0.775 to 0.796 for Residual U-Net, 0.772 to 0.799 for V-Net, 0.722 to 0.786 for U-Net++, and 0.835 to 0.900 for nnU-Net. Fold 4 had the smallest mean for both U-Net++ and nnU-Net, indicating an effect of cohort composition that would not be noticeable using splitting alone.</w:t>
      </w:r>
    </w:p>
    <w:p>
      <w:pPr>
        <w:pStyle w:val="BodyText"/>
        <w:spacing w:lineRule="auto" w:line="360" w:before="127" w:after="0"/>
        <w:rPr>
          <w:color w:val="151515"/>
        </w:rPr>
        <w:sectPr>
          <w:headerReference w:type="even" ns5:id="rId18"/>
          <w:headerReference w:type="default" ns5:id="rId19"/>
          <w:headerReference w:type="first" ns5:id="rId20"/>
          <w:footerReference w:type="even" ns5:id="rId21"/>
          <w:footerReference w:type="default" ns5:id="rId22"/>
          <w:footerReference w:type="first" ns5:id="rId23"/>
          <w:type w:val="nextPage"/>
          <w:pgSz w:w="11906" w:h="16838"/>
          <w:pgMar w:left="1133" w:right="992" w:gutter="0" w:header="1600" w:top="1780" w:footer="1056" w:bottom="1240"/>
          <w:pgNumType w:fmt="decimal"/>
          <w:formProt w:val="false"/>
          <w:textDirection w:val="lrTb"/>
          <w:docGrid w:type="default" w:linePitch="100" w:charSpace="0"/>
        </w:sectPr>
      </w:pPr>
      <w:r>
        <w:rPr>
          <w:color w:val="151515"/>
        </w:rPr>
        <w:t>For the three initial states (seeds) of fold 1, the ranges of mean values ​​at the seed level were 0.019 for 3D U-Net, 0.011 for Residual U-Net, 0.027 for V-Net, 0.026 for U-Net++, and 0.013 for nnU-Net. The median ranges of differences between seeds for a single patient were 0.020–0.029. Thus, seed-related variability was substantial for individual patients but smaller than the observed difference between the nnU-Net and Residual U-Net pipelines on fold 1.</w:t>
      </w:r>
    </w:p>
    <w:p>
      <w:pPr>
        <w:pStyle w:val="BodyText"/>
        <w:spacing w:before="8" w:after="0"/>
        <w:ind w:start="0"/>
        <w:jc w:val="start"/>
        <w:rPr>
          <w:sz w:val="15"/>
        </w:rPr>
      </w:pPr>
      <w:r>
        <w:rPr>
          <w:sz w:val="15"/>
        </w:rPr>
      </w:r>
    </w:p>
    <w:p>
      <w:pPr>
        <w:pStyle w:val="Normal"/>
        <w:ind w:start="101"/>
        <w:rPr>
          <w:sz w:val="20"/>
        </w:rPr>
      </w:pPr>
      <w:r>
        <w:rPr/>
        <w:drawing>
          <ns2:inline distT="0" distB="0" distL="0" distR="0">
            <ns2:extent cx="5882640" cy="2173605"/>
            <ns2:effectExtent l="0" t="0" r="0" b="0"/>
            <ns2:docPr id="17" name="Image 7" descr="Fold and seed sensitivity"/>
            <ns2:cNvGraphicFramePr>
              <ns3:graphicFrameLocks noChangeAspect="1"/>
            </ns2:cNvGraphicFramePr>
            <ns3:graphic>
              <ns3:graphicData uri="http://schemas.openxmlformats.org/drawingml/2006/picture">
                <ns4:pic>
                  <ns4:nvPicPr>
                    <ns4:cNvPr id="17" name="Image 7" descr="Fold and seed sensitivity"/>
                    <ns4:cNvPicPr>
                      <ns3:picLocks noChangeAspect="1" noChangeArrowheads="1"/>
                    </ns4:cNvPicPr>
                  </ns4:nvPicPr>
                  <ns4:blipFill>
                    <ns3:blip ns5:embed="rId24"/>
                    <ns3:stretch>
                      <ns3:fillRect/>
                    </ns3:stretch>
                  </ns4:blipFill>
                  <ns4:spPr bwMode="auto">
                    <ns3:xfrm>
                      <ns3:off x="0" y="0"/>
                      <ns3:ext cx="5882640" cy="2173605"/>
                    </ns3:xfrm>
                    <ns3:prstGeom prst="rect">
                      <ns3:avLst/>
                    </ns3:prstGeom>
                    <ns3:noFill/>
                  </ns4:spPr>
                </ns4:pic>
              </ns3:graphicData>
            </ns3:graphic>
          </ns2:inline>
        </w:drawing>
      </w:r>
    </w:p>
    <w:p>
      <w:pPr>
        <w:pStyle w:val="BodyText"/>
        <w:spacing w:before="173" w:after="0"/>
        <w:ind w:start="0"/>
        <w:jc w:val="start"/>
        <w:rPr>
          <w:sz w:val="17"/>
        </w:rPr>
      </w:pPr>
      <w:r>
        <w:rPr>
          <w:sz w:val="17"/>
        </w:rPr>
      </w:r>
    </w:p>
    <w:p>
      <w:pPr>
        <w:pStyle w:val="Normal"/>
        <w:spacing w:lineRule="auto" w:line="286"/>
        <w:ind w:start="31" w:end="225"/>
        <w:rPr>
          <w:rFonts w:ascii="Arial MT" w:hAnsi="Arial MT"/>
          <w:color w:val="151515"/>
          <w:w w:val="105"/>
          <w:sz w:val="17"/>
        </w:rPr>
      </w:pPr>
      <w:r>
        <w:rPr>
          <w:rFonts w:ascii="Arial MT" w:hAnsi="Arial MT"/>
          <w:color w:val="151515"/>
          <w:w w:val="105"/>
          <w:sz w:val="17"/>
        </w:rPr>
        <w:t>Figure 5. Sensitivity to the fold and the initial training state (seed). Panel A shows the mean patient-level Dice coefficient for the combined tumor region for each outer fold using the primary seed. Panel B shows three mean values ​​obtained with different seeds for Fold 1. Repeated runs with different seeds do not increase the patient sample size.</w:t>
      </w:r>
    </w:p>
    <w:p>
      <w:pPr>
        <w:pStyle w:val="Normal"/>
        <w:spacing w:lineRule="auto" w:line="286"/>
        <w:ind w:start="31" w:end="225"/>
        <w:rPr>
          <w:rFonts w:ascii="Arial MT" w:hAnsi="Arial MT"/>
          <w:color w:val="151515"/>
          <w:w w:val="105"/>
          <w:sz w:val="17"/>
        </w:rPr>
      </w:pPr>
      <w:r>
        <w:rPr>
          <w:rFonts w:ascii="Arial MT" w:hAnsi="Arial MT"/>
          <w:color w:val="151515"/>
          <w:w w:val="105"/>
          <w:sz w:val="17"/>
        </w:rPr>
      </w:r>
    </w:p>
    <w:p>
      <w:pPr>
        <w:pStyle w:val="ListParagraph"/>
        <w:numPr>
          <w:ilvl w:val="1"/>
          <w:numId w:val="3"/>
        </w:numPr>
        <w:outlineLvl w:val="1"/>
        <w:rPr>
          <w:b/>
        </w:rPr>
      </w:pPr>
      <w:bookmarkStart w:id="19" w:name="3.7_Efficiency_and_qualitative_examples"/>
      <w:bookmarkEnd w:id="19"/>
      <w:r>
        <w:rPr>
          <w:b/>
        </w:rPr>
        <w:t>Efficiency and qualitative examples</w:t>
      </w:r>
    </w:p>
    <w:p>
      <w:pPr>
        <w:pStyle w:val="BodyText"/>
        <w:spacing w:lineRule="auto" w:line="302"/>
        <w:ind w:start="31" w:end="93"/>
        <w:rPr>
          <w:color w:val="151515"/>
        </w:rPr>
      </w:pPr>
      <w:r>
        <w:rPr>
          <w:color w:val="151515"/>
        </w:rPr>
        <w:t>The total recorded training time across the entire experiment was 110.0 GPU-hours; however, the hardware and software environments were not experimentally balanced. Therefore, the summary metrics for the main runs are descriptive in nature (Table 7). The median number of training epochs was 62, 47, 53, 51, and 107 for 3D U-Net, Residual U-Net, V-Net, U-Net++, and nnU-Net, respectively. The median observed peak memory usage was approximately 2.53, 1.44, 1.50, 2.56, and 8.02 GiB, respectively. nnU-Net had more parameters and a longer training duration but demonstrated a higher recorded inference speed per case; the latter comparison is complicated by differences in GPUs, software frameworks, I/O operations, and implementation details.</w:t>
      </w:r>
    </w:p>
    <w:p>
      <w:pPr>
        <w:pStyle w:val="BodyText"/>
        <w:spacing w:lineRule="auto" w:line="302"/>
        <w:ind w:start="31" w:end="93"/>
        <w:rPr>
          <w:color w:val="151515"/>
          <w:sz w:val="17"/>
          <w:szCs w:val="17"/>
        </w:rPr>
      </w:pPr>
      <w:r>
        <w:rPr>
          <w:color w:val="151515"/>
          <w:sz w:val="17"/>
          <w:szCs w:val="17"/>
        </w:rPr>
        <w:t>Table 7. Descriptive performance metrics for the five main runs of each model.</w:t>
      </w:r>
    </w:p>
    <w:p>
      <w:pPr>
        <w:pStyle w:val="BodyText"/>
        <w:spacing w:before="0" w:after="1"/>
        <w:ind w:start="0"/>
        <w:jc w:val="start"/>
        <w:rPr>
          <w:rFonts w:ascii="Arial MT" w:hAnsi="Arial MT"/>
          <w:sz w:val="11"/>
        </w:rPr>
      </w:pPr>
      <w:r>
        <w:rPr>
          <w:rFonts w:ascii="Arial MT" w:hAnsi="Arial MT"/>
          <w:sz w:val="11"/>
        </w:rPr>
      </w:r>
    </w:p>
    <w:tbl>
      <w:tblPr>
        <w:tblW w:w="9667"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1334"/>
        <w:gridCol w:w="1654"/>
        <w:gridCol w:w="1918"/>
        <w:gridCol w:w="1236"/>
        <w:gridCol w:w="1585"/>
        <w:gridCol w:w="1940"/>
      </w:tblGrid>
      <w:tr>
        <w:trPr>
          <w:trHeight w:val="417" w:hRule="atLeast"/>
        </w:trPr>
        <w:tc>
          <w:tcPr>
            <w:tcW w:w="1334" w:type="dxa"/>
            <w:tcBorders/>
            <w:shd w:color="auto" w:fill="EDF0F4" w:val="clear"/>
          </w:tcPr>
          <w:p>
            <w:pPr>
              <w:pStyle w:val="TableParagraph"/>
              <w:spacing w:before="128" w:after="0"/>
              <w:rPr>
                <w:rFonts w:ascii="Arial" w:hAnsi="Arial"/>
                <w:b/>
                <w:sz w:val="13"/>
              </w:rPr>
            </w:pPr>
            <w:r>
              <w:rPr>
                <w:rFonts w:ascii="Arial" w:hAnsi="Arial"/>
                <w:b/>
                <w:color w:val="151515"/>
                <w:spacing w:val="-2"/>
                <w:w w:val="105"/>
                <w:sz w:val="13"/>
              </w:rPr>
              <w:t>Model</w:t>
            </w:r>
          </w:p>
        </w:tc>
        <w:tc>
          <w:tcPr>
            <w:tcW w:w="1654" w:type="dxa"/>
            <w:tcBorders/>
            <w:shd w:color="auto" w:fill="EDF0F4" w:val="clear"/>
          </w:tcPr>
          <w:p>
            <w:pPr>
              <w:pStyle w:val="TableParagraph"/>
              <w:spacing w:lineRule="auto" w:line="266" w:before="45" w:after="0"/>
              <w:ind w:start="366" w:end="255"/>
              <w:rPr>
                <w:rFonts w:ascii="Arial" w:hAnsi="Arial"/>
                <w:b/>
                <w:sz w:val="13"/>
              </w:rPr>
            </w:pPr>
            <w:r>
              <w:rPr>
                <w:rFonts w:ascii="Arial" w:hAnsi="Arial"/>
                <w:b/>
                <w:color w:val="151515"/>
                <w:spacing w:val="-2"/>
                <w:w w:val="105"/>
                <w:sz w:val="13"/>
              </w:rPr>
              <w:t>Epochs,</w:t>
            </w:r>
            <w:r>
              <w:rPr>
                <w:rFonts w:ascii="Arial" w:hAnsi="Arial"/>
                <w:b/>
                <w:color w:val="151515"/>
                <w:spacing w:val="-8"/>
                <w:w w:val="105"/>
                <w:sz w:val="13"/>
              </w:rPr>
              <w:t xml:space="preserve"> </w:t>
            </w:r>
            <w:r>
              <w:rPr>
                <w:rFonts w:ascii="Arial" w:hAnsi="Arial"/>
                <w:b/>
                <w:color w:val="151515"/>
                <w:spacing w:val="-2"/>
                <w:w w:val="105"/>
                <w:sz w:val="13"/>
              </w:rPr>
              <w:t>median</w:t>
            </w:r>
            <w:r>
              <w:rPr>
                <w:rFonts w:ascii="Arial" w:hAnsi="Arial"/>
                <w:b/>
                <w:color w:val="151515"/>
                <w:spacing w:val="40"/>
                <w:w w:val="105"/>
                <w:sz w:val="13"/>
              </w:rPr>
              <w:t xml:space="preserve"> </w:t>
            </w:r>
            <w:r>
              <w:rPr>
                <w:rFonts w:ascii="Arial" w:hAnsi="Arial"/>
                <w:b/>
                <w:color w:val="151515"/>
                <w:spacing w:val="-2"/>
                <w:w w:val="105"/>
                <w:sz w:val="13"/>
              </w:rPr>
              <w:t>(range)</w:t>
            </w:r>
          </w:p>
        </w:tc>
        <w:tc>
          <w:tcPr>
            <w:tcW w:w="1918" w:type="dxa"/>
            <w:tcBorders/>
            <w:shd w:color="auto" w:fill="EDF0F4" w:val="clear"/>
          </w:tcPr>
          <w:p>
            <w:pPr>
              <w:pStyle w:val="TableParagraph"/>
              <w:spacing w:lineRule="auto" w:line="266" w:before="45" w:after="0"/>
              <w:ind w:start="260"/>
              <w:rPr>
                <w:rFonts w:ascii="Arial" w:hAnsi="Arial"/>
                <w:b/>
                <w:sz w:val="13"/>
              </w:rPr>
            </w:pPr>
            <w:r>
              <w:rPr>
                <w:rFonts w:ascii="Arial" w:hAnsi="Arial"/>
                <w:b/>
                <w:color w:val="151515"/>
                <w:sz w:val="13"/>
              </w:rPr>
              <w:t>Training hours, median</w:t>
            </w:r>
            <w:r>
              <w:rPr>
                <w:rFonts w:ascii="Arial" w:hAnsi="Arial"/>
                <w:b/>
                <w:color w:val="151515"/>
                <w:spacing w:val="40"/>
                <w:w w:val="105"/>
                <w:sz w:val="13"/>
              </w:rPr>
              <w:t xml:space="preserve"> </w:t>
            </w:r>
            <w:r>
              <w:rPr>
                <w:rFonts w:ascii="Arial" w:hAnsi="Arial"/>
                <w:b/>
                <w:color w:val="151515"/>
                <w:spacing w:val="-2"/>
                <w:w w:val="105"/>
                <w:sz w:val="13"/>
              </w:rPr>
              <w:t>(range)</w:t>
            </w:r>
          </w:p>
        </w:tc>
        <w:tc>
          <w:tcPr>
            <w:tcW w:w="1236" w:type="dxa"/>
            <w:tcBorders/>
            <w:shd w:color="auto" w:fill="EDF0F4" w:val="clear"/>
          </w:tcPr>
          <w:p>
            <w:pPr>
              <w:pStyle w:val="TableParagraph"/>
              <w:spacing w:lineRule="auto" w:line="266" w:before="45" w:after="0"/>
              <w:ind w:start="178"/>
              <w:rPr>
                <w:rFonts w:ascii="Arial" w:hAnsi="Arial"/>
                <w:b/>
                <w:sz w:val="13"/>
              </w:rPr>
            </w:pPr>
            <w:r>
              <w:rPr>
                <w:rFonts w:ascii="Arial" w:hAnsi="Arial"/>
                <w:b/>
                <w:color w:val="151515"/>
                <w:spacing w:val="-2"/>
                <w:w w:val="105"/>
                <w:sz w:val="13"/>
              </w:rPr>
              <w:t>Peak</w:t>
            </w:r>
            <w:r>
              <w:rPr>
                <w:rFonts w:ascii="Arial" w:hAnsi="Arial"/>
                <w:b/>
                <w:color w:val="151515"/>
                <w:spacing w:val="-8"/>
                <w:w w:val="105"/>
                <w:sz w:val="13"/>
              </w:rPr>
              <w:t xml:space="preserve"> </w:t>
            </w:r>
            <w:r>
              <w:rPr>
                <w:rFonts w:ascii="Arial" w:hAnsi="Arial"/>
                <w:b/>
                <w:color w:val="151515"/>
                <w:spacing w:val="-2"/>
                <w:w w:val="105"/>
                <w:sz w:val="13"/>
              </w:rPr>
              <w:t>GPU</w:t>
            </w:r>
            <w:r>
              <w:rPr>
                <w:rFonts w:ascii="Arial" w:hAnsi="Arial"/>
                <w:b/>
                <w:color w:val="151515"/>
                <w:spacing w:val="-7"/>
                <w:w w:val="105"/>
                <w:sz w:val="13"/>
              </w:rPr>
              <w:t xml:space="preserve"> </w:t>
            </w:r>
            <w:r>
              <w:rPr>
                <w:rFonts w:ascii="Arial" w:hAnsi="Arial"/>
                <w:b/>
                <w:color w:val="151515"/>
                <w:spacing w:val="-2"/>
                <w:w w:val="105"/>
                <w:sz w:val="13"/>
              </w:rPr>
              <w:t>GiB,</w:t>
            </w:r>
            <w:r>
              <w:rPr>
                <w:rFonts w:ascii="Arial" w:hAnsi="Arial"/>
                <w:b/>
                <w:color w:val="151515"/>
                <w:spacing w:val="40"/>
                <w:w w:val="105"/>
                <w:sz w:val="13"/>
              </w:rPr>
              <w:t xml:space="preserve"> </w:t>
            </w:r>
            <w:r>
              <w:rPr>
                <w:rFonts w:ascii="Arial" w:hAnsi="Arial"/>
                <w:b/>
                <w:color w:val="151515"/>
                <w:spacing w:val="-2"/>
                <w:w w:val="105"/>
                <w:sz w:val="13"/>
              </w:rPr>
              <w:t>median</w:t>
            </w:r>
          </w:p>
        </w:tc>
        <w:tc>
          <w:tcPr>
            <w:tcW w:w="1585" w:type="dxa"/>
            <w:tcBorders/>
            <w:shd w:color="auto" w:fill="EDF0F4" w:val="clear"/>
          </w:tcPr>
          <w:p>
            <w:pPr>
              <w:pStyle w:val="TableParagraph"/>
              <w:spacing w:lineRule="auto" w:line="266" w:before="45" w:after="0"/>
              <w:ind w:start="103" w:end="60"/>
              <w:rPr>
                <w:rFonts w:ascii="Arial" w:hAnsi="Arial"/>
                <w:b/>
                <w:sz w:val="13"/>
              </w:rPr>
            </w:pPr>
            <w:r>
              <w:rPr>
                <w:rFonts w:ascii="Arial" w:hAnsi="Arial"/>
                <w:b/>
                <w:color w:val="151515"/>
                <w:spacing w:val="-2"/>
                <w:w w:val="105"/>
                <w:sz w:val="13"/>
              </w:rPr>
              <w:t>Inference</w:t>
            </w:r>
            <w:r>
              <w:rPr>
                <w:rFonts w:ascii="Arial" w:hAnsi="Arial"/>
                <w:b/>
                <w:color w:val="151515"/>
                <w:spacing w:val="40"/>
                <w:w w:val="105"/>
                <w:sz w:val="13"/>
              </w:rPr>
              <w:t xml:space="preserve"> </w:t>
            </w:r>
            <w:r>
              <w:rPr>
                <w:rFonts w:ascii="Arial" w:hAnsi="Arial"/>
                <w:b/>
                <w:color w:val="151515"/>
                <w:spacing w:val="-2"/>
                <w:w w:val="105"/>
                <w:sz w:val="13"/>
              </w:rPr>
              <w:t>seconds/case,</w:t>
            </w:r>
            <w:r>
              <w:rPr>
                <w:rFonts w:ascii="Arial" w:hAnsi="Arial"/>
                <w:b/>
                <w:color w:val="151515"/>
                <w:spacing w:val="-8"/>
                <w:w w:val="105"/>
                <w:sz w:val="13"/>
              </w:rPr>
              <w:t xml:space="preserve"> </w:t>
            </w:r>
            <w:r>
              <w:rPr>
                <w:rFonts w:ascii="Arial" w:hAnsi="Arial"/>
                <w:b/>
                <w:color w:val="151515"/>
                <w:spacing w:val="-2"/>
                <w:w w:val="105"/>
                <w:sz w:val="13"/>
              </w:rPr>
              <w:t>median</w:t>
            </w:r>
          </w:p>
        </w:tc>
        <w:tc>
          <w:tcPr>
            <w:tcW w:w="1940" w:type="dxa"/>
            <w:tcBorders/>
            <w:shd w:color="auto" w:fill="EDF0F4" w:val="clear"/>
          </w:tcPr>
          <w:p>
            <w:pPr>
              <w:pStyle w:val="TableParagraph"/>
              <w:spacing w:before="128" w:after="0"/>
              <w:ind w:start="63"/>
              <w:rPr>
                <w:rFonts w:ascii="Arial" w:hAnsi="Arial"/>
                <w:b/>
                <w:sz w:val="13"/>
              </w:rPr>
            </w:pPr>
            <w:r>
              <w:rPr>
                <w:rFonts w:ascii="Arial" w:hAnsi="Arial"/>
                <w:b/>
                <w:color w:val="151515"/>
                <w:sz w:val="13"/>
              </w:rPr>
              <w:t>Execution</w:t>
            </w:r>
            <w:r>
              <w:rPr>
                <w:rFonts w:ascii="Arial" w:hAnsi="Arial"/>
                <w:b/>
                <w:color w:val="151515"/>
                <w:spacing w:val="14"/>
                <w:sz w:val="13"/>
              </w:rPr>
              <w:t xml:space="preserve"> </w:t>
            </w:r>
            <w:r>
              <w:rPr>
                <w:rFonts w:ascii="Arial" w:hAnsi="Arial"/>
                <w:b/>
                <w:color w:val="151515"/>
                <w:spacing w:val="-2"/>
                <w:sz w:val="13"/>
              </w:rPr>
              <w:t>platforms</w:t>
            </w:r>
          </w:p>
        </w:tc>
      </w:tr>
      <w:tr>
        <w:trPr>
          <w:trHeight w:val="247" w:hRule="atLeast"/>
        </w:trPr>
        <w:tc>
          <w:tcPr>
            <w:tcW w:w="1334" w:type="dxa"/>
            <w:tcBorders/>
          </w:tcPr>
          <w:p>
            <w:pPr>
              <w:pStyle w:val="TableParagraph"/>
              <w:spacing w:before="46" w:after="0"/>
              <w:rPr>
                <w:sz w:val="13"/>
              </w:rPr>
            </w:pPr>
            <w:r>
              <w:rPr>
                <w:color w:val="151515"/>
                <w:spacing w:val="-2"/>
                <w:w w:val="105"/>
                <w:sz w:val="13"/>
              </w:rPr>
              <w:t>3D</w:t>
            </w:r>
            <w:r>
              <w:rPr>
                <w:color w:val="151515"/>
                <w:spacing w:val="-1"/>
                <w:sz w:val="13"/>
              </w:rPr>
              <w:t xml:space="preserve"> </w:t>
            </w:r>
            <w:r>
              <w:rPr>
                <w:color w:val="151515"/>
                <w:spacing w:val="-2"/>
                <w:w w:val="105"/>
                <w:sz w:val="13"/>
              </w:rPr>
              <w:t>U-</w:t>
            </w:r>
            <w:r>
              <w:rPr>
                <w:color w:val="151515"/>
                <w:spacing w:val="-5"/>
                <w:w w:val="105"/>
                <w:sz w:val="13"/>
              </w:rPr>
              <w:t>Net</w:t>
            </w:r>
          </w:p>
        </w:tc>
        <w:tc>
          <w:tcPr>
            <w:tcW w:w="1654" w:type="dxa"/>
            <w:tcBorders/>
          </w:tcPr>
          <w:p>
            <w:pPr>
              <w:pStyle w:val="TableParagraph"/>
              <w:spacing w:before="46" w:after="0"/>
              <w:ind w:start="366"/>
              <w:rPr>
                <w:sz w:val="13"/>
              </w:rPr>
            </w:pPr>
            <w:r>
              <w:rPr>
                <w:color w:val="151515"/>
                <w:spacing w:val="-2"/>
                <w:w w:val="105"/>
                <w:sz w:val="13"/>
              </w:rPr>
              <w:t>62</w:t>
            </w:r>
            <w:r>
              <w:rPr>
                <w:color w:val="151515"/>
                <w:w w:val="105"/>
                <w:sz w:val="13"/>
              </w:rPr>
              <w:t xml:space="preserve"> </w:t>
            </w:r>
            <w:r>
              <w:rPr>
                <w:color w:val="151515"/>
                <w:spacing w:val="-2"/>
                <w:w w:val="105"/>
                <w:sz w:val="13"/>
              </w:rPr>
              <w:t>(53–</w:t>
            </w:r>
            <w:r>
              <w:rPr>
                <w:color w:val="151515"/>
                <w:spacing w:val="-5"/>
                <w:w w:val="105"/>
                <w:sz w:val="13"/>
              </w:rPr>
              <w:t>68)</w:t>
            </w:r>
          </w:p>
        </w:tc>
        <w:tc>
          <w:tcPr>
            <w:tcW w:w="1918" w:type="dxa"/>
            <w:tcBorders/>
          </w:tcPr>
          <w:p>
            <w:pPr>
              <w:pStyle w:val="TableParagraph"/>
              <w:spacing w:before="46" w:after="0"/>
              <w:ind w:start="260"/>
              <w:rPr>
                <w:sz w:val="13"/>
              </w:rPr>
            </w:pPr>
            <w:r>
              <w:rPr>
                <w:color w:val="151515"/>
                <w:sz w:val="13"/>
              </w:rPr>
              <w:t>3.35</w:t>
            </w:r>
            <w:r>
              <w:rPr>
                <w:color w:val="151515"/>
                <w:spacing w:val="13"/>
                <w:sz w:val="13"/>
              </w:rPr>
              <w:t xml:space="preserve"> </w:t>
            </w:r>
            <w:r>
              <w:rPr>
                <w:color w:val="151515"/>
                <w:sz w:val="13"/>
              </w:rPr>
              <w:t>(2.03–</w:t>
            </w:r>
            <w:r>
              <w:rPr>
                <w:color w:val="151515"/>
                <w:spacing w:val="-2"/>
                <w:sz w:val="13"/>
              </w:rPr>
              <w:t>4.01)</w:t>
            </w:r>
          </w:p>
        </w:tc>
        <w:tc>
          <w:tcPr>
            <w:tcW w:w="1236" w:type="dxa"/>
            <w:tcBorders/>
          </w:tcPr>
          <w:p>
            <w:pPr>
              <w:pStyle w:val="TableParagraph"/>
              <w:spacing w:before="46" w:after="0"/>
              <w:ind w:start="178"/>
              <w:rPr>
                <w:sz w:val="13"/>
              </w:rPr>
            </w:pPr>
            <w:r>
              <w:rPr>
                <w:color w:val="151515"/>
                <w:spacing w:val="-4"/>
                <w:w w:val="105"/>
                <w:sz w:val="13"/>
              </w:rPr>
              <w:t>2.53</w:t>
            </w:r>
          </w:p>
        </w:tc>
        <w:tc>
          <w:tcPr>
            <w:tcW w:w="1585" w:type="dxa"/>
            <w:tcBorders/>
          </w:tcPr>
          <w:p>
            <w:pPr>
              <w:pStyle w:val="TableParagraph"/>
              <w:spacing w:before="46" w:after="0"/>
              <w:ind w:start="103"/>
              <w:rPr>
                <w:sz w:val="13"/>
              </w:rPr>
            </w:pPr>
            <w:r>
              <w:rPr>
                <w:color w:val="151515"/>
                <w:spacing w:val="-2"/>
                <w:w w:val="105"/>
                <w:sz w:val="13"/>
              </w:rPr>
              <w:t>10.70</w:t>
            </w:r>
          </w:p>
        </w:tc>
        <w:tc>
          <w:tcPr>
            <w:tcW w:w="1940" w:type="dxa"/>
            <w:tcBorders/>
          </w:tcPr>
          <w:p>
            <w:pPr>
              <w:pStyle w:val="TableParagraph"/>
              <w:spacing w:before="46" w:after="0"/>
              <w:ind w:start="63"/>
              <w:rPr>
                <w:sz w:val="13"/>
              </w:rPr>
            </w:pPr>
            <w:r>
              <w:rPr>
                <w:color w:val="151515"/>
                <w:w w:val="105"/>
                <w:sz w:val="13"/>
              </w:rPr>
              <w:t>T4,</w:t>
            </w:r>
            <w:r>
              <w:rPr>
                <w:color w:val="151515"/>
                <w:spacing w:val="-9"/>
                <w:w w:val="105"/>
                <w:sz w:val="13"/>
              </w:rPr>
              <w:t xml:space="preserve"> </w:t>
            </w:r>
            <w:r>
              <w:rPr>
                <w:color w:val="151515"/>
                <w:w w:val="105"/>
                <w:sz w:val="13"/>
              </w:rPr>
              <w:t>P100,</w:t>
            </w:r>
            <w:r>
              <w:rPr>
                <w:color w:val="151515"/>
                <w:spacing w:val="-7"/>
                <w:w w:val="105"/>
                <w:sz w:val="13"/>
              </w:rPr>
              <w:t xml:space="preserve"> </w:t>
            </w:r>
            <w:r>
              <w:rPr>
                <w:color w:val="151515"/>
                <w:w w:val="105"/>
                <w:sz w:val="13"/>
              </w:rPr>
              <w:t>RTX</w:t>
            </w:r>
            <w:r>
              <w:rPr>
                <w:color w:val="151515"/>
                <w:spacing w:val="-8"/>
                <w:w w:val="105"/>
                <w:sz w:val="13"/>
              </w:rPr>
              <w:t xml:space="preserve"> </w:t>
            </w:r>
            <w:r>
              <w:rPr>
                <w:color w:val="151515"/>
                <w:spacing w:val="-4"/>
                <w:w w:val="105"/>
                <w:sz w:val="13"/>
              </w:rPr>
              <w:t>3050</w:t>
            </w:r>
          </w:p>
        </w:tc>
      </w:tr>
      <w:tr>
        <w:trPr>
          <w:trHeight w:val="252" w:hRule="atLeast"/>
        </w:trPr>
        <w:tc>
          <w:tcPr>
            <w:tcW w:w="1334" w:type="dxa"/>
            <w:tcBorders/>
          </w:tcPr>
          <w:p>
            <w:pPr>
              <w:pStyle w:val="TableParagraph"/>
              <w:spacing w:before="50" w:after="0"/>
              <w:rPr>
                <w:sz w:val="13"/>
              </w:rPr>
            </w:pPr>
            <w:r>
              <w:rPr>
                <w:color w:val="151515"/>
                <w:sz w:val="13"/>
              </w:rPr>
              <w:t>Residual</w:t>
            </w:r>
            <w:r>
              <w:rPr>
                <w:color w:val="151515"/>
                <w:spacing w:val="15"/>
                <w:sz w:val="13"/>
              </w:rPr>
              <w:t xml:space="preserve"> </w:t>
            </w:r>
            <w:r>
              <w:rPr>
                <w:color w:val="151515"/>
                <w:sz w:val="13"/>
              </w:rPr>
              <w:t>U-</w:t>
            </w:r>
            <w:r>
              <w:rPr>
                <w:color w:val="151515"/>
                <w:spacing w:val="-5"/>
                <w:sz w:val="13"/>
              </w:rPr>
              <w:t>Net</w:t>
            </w:r>
          </w:p>
        </w:tc>
        <w:tc>
          <w:tcPr>
            <w:tcW w:w="1654" w:type="dxa"/>
            <w:tcBorders/>
          </w:tcPr>
          <w:p>
            <w:pPr>
              <w:pStyle w:val="TableParagraph"/>
              <w:spacing w:before="50" w:after="0"/>
              <w:ind w:start="366"/>
              <w:rPr>
                <w:sz w:val="13"/>
              </w:rPr>
            </w:pPr>
            <w:r>
              <w:rPr>
                <w:color w:val="151515"/>
                <w:spacing w:val="-2"/>
                <w:w w:val="105"/>
                <w:sz w:val="13"/>
              </w:rPr>
              <w:t>47</w:t>
            </w:r>
            <w:r>
              <w:rPr>
                <w:color w:val="151515"/>
                <w:w w:val="105"/>
                <w:sz w:val="13"/>
              </w:rPr>
              <w:t xml:space="preserve"> </w:t>
            </w:r>
            <w:r>
              <w:rPr>
                <w:color w:val="151515"/>
                <w:spacing w:val="-2"/>
                <w:w w:val="105"/>
                <w:sz w:val="13"/>
              </w:rPr>
              <w:t>(38–</w:t>
            </w:r>
            <w:r>
              <w:rPr>
                <w:color w:val="151515"/>
                <w:spacing w:val="-5"/>
                <w:w w:val="105"/>
                <w:sz w:val="13"/>
              </w:rPr>
              <w:t>55)</w:t>
            </w:r>
          </w:p>
        </w:tc>
        <w:tc>
          <w:tcPr>
            <w:tcW w:w="1918" w:type="dxa"/>
            <w:tcBorders/>
          </w:tcPr>
          <w:p>
            <w:pPr>
              <w:pStyle w:val="TableParagraph"/>
              <w:spacing w:before="50" w:after="0"/>
              <w:ind w:start="260"/>
              <w:rPr>
                <w:sz w:val="13"/>
              </w:rPr>
            </w:pPr>
            <w:r>
              <w:rPr>
                <w:color w:val="151515"/>
                <w:sz w:val="13"/>
              </w:rPr>
              <w:t>1.74</w:t>
            </w:r>
            <w:r>
              <w:rPr>
                <w:color w:val="151515"/>
                <w:spacing w:val="13"/>
                <w:sz w:val="13"/>
              </w:rPr>
              <w:t xml:space="preserve"> </w:t>
            </w:r>
            <w:r>
              <w:rPr>
                <w:color w:val="151515"/>
                <w:sz w:val="13"/>
              </w:rPr>
              <w:t>(1.21–</w:t>
            </w:r>
            <w:r>
              <w:rPr>
                <w:color w:val="151515"/>
                <w:spacing w:val="-2"/>
                <w:sz w:val="13"/>
              </w:rPr>
              <w:t>2.80)</w:t>
            </w:r>
          </w:p>
        </w:tc>
        <w:tc>
          <w:tcPr>
            <w:tcW w:w="1236" w:type="dxa"/>
            <w:tcBorders/>
          </w:tcPr>
          <w:p>
            <w:pPr>
              <w:pStyle w:val="TableParagraph"/>
              <w:spacing w:before="50" w:after="0"/>
              <w:ind w:start="178"/>
              <w:rPr>
                <w:sz w:val="13"/>
              </w:rPr>
            </w:pPr>
            <w:r>
              <w:rPr>
                <w:color w:val="151515"/>
                <w:spacing w:val="-4"/>
                <w:w w:val="105"/>
                <w:sz w:val="13"/>
              </w:rPr>
              <w:t>1.44</w:t>
            </w:r>
          </w:p>
        </w:tc>
        <w:tc>
          <w:tcPr>
            <w:tcW w:w="1585" w:type="dxa"/>
            <w:tcBorders/>
          </w:tcPr>
          <w:p>
            <w:pPr>
              <w:pStyle w:val="TableParagraph"/>
              <w:spacing w:before="50" w:after="0"/>
              <w:ind w:start="103"/>
              <w:rPr>
                <w:sz w:val="13"/>
              </w:rPr>
            </w:pPr>
            <w:r>
              <w:rPr>
                <w:color w:val="151515"/>
                <w:spacing w:val="-4"/>
                <w:w w:val="105"/>
                <w:sz w:val="13"/>
              </w:rPr>
              <w:t>6.99</w:t>
            </w:r>
          </w:p>
        </w:tc>
        <w:tc>
          <w:tcPr>
            <w:tcW w:w="1940" w:type="dxa"/>
            <w:tcBorders/>
          </w:tcPr>
          <w:p>
            <w:pPr>
              <w:pStyle w:val="TableParagraph"/>
              <w:spacing w:before="50" w:after="0"/>
              <w:ind w:start="63"/>
              <w:rPr>
                <w:sz w:val="13"/>
              </w:rPr>
            </w:pPr>
            <w:r>
              <w:rPr>
                <w:color w:val="151515"/>
                <w:w w:val="105"/>
                <w:sz w:val="13"/>
              </w:rPr>
              <w:t>P100,</w:t>
            </w:r>
            <w:r>
              <w:rPr>
                <w:color w:val="151515"/>
                <w:spacing w:val="-9"/>
                <w:w w:val="105"/>
                <w:sz w:val="13"/>
              </w:rPr>
              <w:t xml:space="preserve"> </w:t>
            </w:r>
            <w:r>
              <w:rPr>
                <w:color w:val="151515"/>
                <w:w w:val="105"/>
                <w:sz w:val="13"/>
              </w:rPr>
              <w:t>RTX</w:t>
            </w:r>
            <w:r>
              <w:rPr>
                <w:color w:val="151515"/>
                <w:spacing w:val="-9"/>
                <w:w w:val="105"/>
                <w:sz w:val="13"/>
              </w:rPr>
              <w:t xml:space="preserve"> </w:t>
            </w:r>
            <w:r>
              <w:rPr>
                <w:color w:val="151515"/>
                <w:spacing w:val="-4"/>
                <w:w w:val="105"/>
                <w:sz w:val="13"/>
              </w:rPr>
              <w:t>3050</w:t>
            </w:r>
          </w:p>
        </w:tc>
      </w:tr>
      <w:tr>
        <w:trPr>
          <w:trHeight w:val="251" w:hRule="atLeast"/>
        </w:trPr>
        <w:tc>
          <w:tcPr>
            <w:tcW w:w="1334" w:type="dxa"/>
            <w:tcBorders/>
          </w:tcPr>
          <w:p>
            <w:pPr>
              <w:pStyle w:val="TableParagraph"/>
              <w:spacing w:before="50" w:after="0"/>
              <w:rPr>
                <w:sz w:val="13"/>
              </w:rPr>
            </w:pPr>
            <w:r>
              <w:rPr>
                <w:color w:val="151515"/>
                <w:sz w:val="13"/>
              </w:rPr>
              <w:t>V-</w:t>
            </w:r>
            <w:r>
              <w:rPr>
                <w:color w:val="151515"/>
                <w:spacing w:val="-5"/>
                <w:sz w:val="13"/>
              </w:rPr>
              <w:t>Net</w:t>
            </w:r>
          </w:p>
        </w:tc>
        <w:tc>
          <w:tcPr>
            <w:tcW w:w="1654" w:type="dxa"/>
            <w:tcBorders/>
          </w:tcPr>
          <w:p>
            <w:pPr>
              <w:pStyle w:val="TableParagraph"/>
              <w:spacing w:before="50" w:after="0"/>
              <w:ind w:start="366"/>
              <w:rPr>
                <w:sz w:val="13"/>
              </w:rPr>
            </w:pPr>
            <w:r>
              <w:rPr>
                <w:color w:val="151515"/>
                <w:spacing w:val="-2"/>
                <w:w w:val="105"/>
                <w:sz w:val="13"/>
              </w:rPr>
              <w:t>53</w:t>
            </w:r>
            <w:r>
              <w:rPr>
                <w:color w:val="151515"/>
                <w:w w:val="105"/>
                <w:sz w:val="13"/>
              </w:rPr>
              <w:t xml:space="preserve"> </w:t>
            </w:r>
            <w:r>
              <w:rPr>
                <w:color w:val="151515"/>
                <w:spacing w:val="-2"/>
                <w:w w:val="105"/>
                <w:sz w:val="13"/>
              </w:rPr>
              <w:t>(40–</w:t>
            </w:r>
            <w:r>
              <w:rPr>
                <w:color w:val="151515"/>
                <w:spacing w:val="-5"/>
                <w:w w:val="105"/>
                <w:sz w:val="13"/>
              </w:rPr>
              <w:t>57)</w:t>
            </w:r>
          </w:p>
        </w:tc>
        <w:tc>
          <w:tcPr>
            <w:tcW w:w="1918" w:type="dxa"/>
            <w:tcBorders/>
          </w:tcPr>
          <w:p>
            <w:pPr>
              <w:pStyle w:val="TableParagraph"/>
              <w:spacing w:before="50" w:after="0"/>
              <w:ind w:start="260"/>
              <w:rPr>
                <w:sz w:val="13"/>
              </w:rPr>
            </w:pPr>
            <w:r>
              <w:rPr>
                <w:color w:val="151515"/>
                <w:sz w:val="13"/>
              </w:rPr>
              <w:t>1.68</w:t>
            </w:r>
            <w:r>
              <w:rPr>
                <w:color w:val="151515"/>
                <w:spacing w:val="13"/>
                <w:sz w:val="13"/>
              </w:rPr>
              <w:t xml:space="preserve"> </w:t>
            </w:r>
            <w:r>
              <w:rPr>
                <w:color w:val="151515"/>
                <w:sz w:val="13"/>
              </w:rPr>
              <w:t>(1.19–</w:t>
            </w:r>
            <w:r>
              <w:rPr>
                <w:color w:val="151515"/>
                <w:spacing w:val="-2"/>
                <w:sz w:val="13"/>
              </w:rPr>
              <w:t>1.86)</w:t>
            </w:r>
          </w:p>
        </w:tc>
        <w:tc>
          <w:tcPr>
            <w:tcW w:w="1236" w:type="dxa"/>
            <w:tcBorders/>
          </w:tcPr>
          <w:p>
            <w:pPr>
              <w:pStyle w:val="TableParagraph"/>
              <w:spacing w:before="50" w:after="0"/>
              <w:ind w:start="178"/>
              <w:rPr>
                <w:sz w:val="13"/>
              </w:rPr>
            </w:pPr>
            <w:r>
              <w:rPr>
                <w:color w:val="151515"/>
                <w:spacing w:val="-4"/>
                <w:w w:val="105"/>
                <w:sz w:val="13"/>
              </w:rPr>
              <w:t>1.50</w:t>
            </w:r>
          </w:p>
        </w:tc>
        <w:tc>
          <w:tcPr>
            <w:tcW w:w="1585" w:type="dxa"/>
            <w:tcBorders/>
          </w:tcPr>
          <w:p>
            <w:pPr>
              <w:pStyle w:val="TableParagraph"/>
              <w:spacing w:before="50" w:after="0"/>
              <w:ind w:start="103"/>
              <w:rPr>
                <w:sz w:val="13"/>
              </w:rPr>
            </w:pPr>
            <w:r>
              <w:rPr>
                <w:color w:val="151515"/>
                <w:spacing w:val="-4"/>
                <w:w w:val="105"/>
                <w:sz w:val="13"/>
              </w:rPr>
              <w:t>7.46</w:t>
            </w:r>
          </w:p>
        </w:tc>
        <w:tc>
          <w:tcPr>
            <w:tcW w:w="1940" w:type="dxa"/>
            <w:tcBorders/>
          </w:tcPr>
          <w:p>
            <w:pPr>
              <w:pStyle w:val="TableParagraph"/>
              <w:spacing w:before="50" w:after="0"/>
              <w:ind w:start="63"/>
              <w:rPr>
                <w:sz w:val="13"/>
              </w:rPr>
            </w:pPr>
            <w:r>
              <w:rPr>
                <w:color w:val="151515"/>
                <w:w w:val="105"/>
                <w:sz w:val="13"/>
              </w:rPr>
              <w:t>RTX</w:t>
            </w:r>
            <w:r>
              <w:rPr>
                <w:color w:val="151515"/>
                <w:spacing w:val="-9"/>
                <w:w w:val="105"/>
                <w:sz w:val="13"/>
              </w:rPr>
              <w:t xml:space="preserve"> </w:t>
            </w:r>
            <w:r>
              <w:rPr>
                <w:color w:val="151515"/>
                <w:spacing w:val="-4"/>
                <w:w w:val="105"/>
                <w:sz w:val="13"/>
              </w:rPr>
              <w:t>3050</w:t>
            </w:r>
          </w:p>
        </w:tc>
      </w:tr>
      <w:tr>
        <w:trPr>
          <w:trHeight w:val="251" w:hRule="atLeast"/>
        </w:trPr>
        <w:tc>
          <w:tcPr>
            <w:tcW w:w="1334" w:type="dxa"/>
            <w:tcBorders/>
          </w:tcPr>
          <w:p>
            <w:pPr>
              <w:pStyle w:val="TableParagraph"/>
              <w:spacing w:before="50" w:after="0"/>
              <w:rPr>
                <w:sz w:val="13"/>
              </w:rPr>
            </w:pPr>
            <w:r>
              <w:rPr>
                <w:color w:val="151515"/>
                <w:sz w:val="13"/>
              </w:rPr>
              <w:t>U-</w:t>
            </w:r>
            <w:r>
              <w:rPr>
                <w:color w:val="151515"/>
                <w:spacing w:val="-2"/>
                <w:sz w:val="13"/>
              </w:rPr>
              <w:t>Net++</w:t>
            </w:r>
          </w:p>
        </w:tc>
        <w:tc>
          <w:tcPr>
            <w:tcW w:w="1654" w:type="dxa"/>
            <w:tcBorders/>
          </w:tcPr>
          <w:p>
            <w:pPr>
              <w:pStyle w:val="TableParagraph"/>
              <w:spacing w:before="50" w:after="0"/>
              <w:ind w:start="366"/>
              <w:rPr>
                <w:sz w:val="13"/>
              </w:rPr>
            </w:pPr>
            <w:r>
              <w:rPr>
                <w:color w:val="151515"/>
                <w:spacing w:val="-2"/>
                <w:w w:val="105"/>
                <w:sz w:val="13"/>
              </w:rPr>
              <w:t>51</w:t>
            </w:r>
            <w:r>
              <w:rPr>
                <w:color w:val="151515"/>
                <w:w w:val="105"/>
                <w:sz w:val="13"/>
              </w:rPr>
              <w:t xml:space="preserve"> </w:t>
            </w:r>
            <w:r>
              <w:rPr>
                <w:color w:val="151515"/>
                <w:spacing w:val="-2"/>
                <w:w w:val="105"/>
                <w:sz w:val="13"/>
              </w:rPr>
              <w:t>(34–</w:t>
            </w:r>
            <w:r>
              <w:rPr>
                <w:color w:val="151515"/>
                <w:spacing w:val="-5"/>
                <w:w w:val="105"/>
                <w:sz w:val="13"/>
              </w:rPr>
              <w:t>65)</w:t>
            </w:r>
          </w:p>
        </w:tc>
        <w:tc>
          <w:tcPr>
            <w:tcW w:w="1918" w:type="dxa"/>
            <w:tcBorders/>
          </w:tcPr>
          <w:p>
            <w:pPr>
              <w:pStyle w:val="TableParagraph"/>
              <w:spacing w:before="50" w:after="0"/>
              <w:ind w:start="260"/>
              <w:rPr>
                <w:sz w:val="13"/>
              </w:rPr>
            </w:pPr>
            <w:r>
              <w:rPr>
                <w:color w:val="151515"/>
                <w:sz w:val="13"/>
              </w:rPr>
              <w:t>2.30</w:t>
            </w:r>
            <w:r>
              <w:rPr>
                <w:color w:val="151515"/>
                <w:spacing w:val="13"/>
                <w:sz w:val="13"/>
              </w:rPr>
              <w:t xml:space="preserve"> </w:t>
            </w:r>
            <w:r>
              <w:rPr>
                <w:color w:val="151515"/>
                <w:sz w:val="13"/>
              </w:rPr>
              <w:t>(1.52–</w:t>
            </w:r>
            <w:r>
              <w:rPr>
                <w:color w:val="151515"/>
                <w:spacing w:val="-2"/>
                <w:sz w:val="13"/>
              </w:rPr>
              <w:t>3.00)</w:t>
            </w:r>
          </w:p>
        </w:tc>
        <w:tc>
          <w:tcPr>
            <w:tcW w:w="1236" w:type="dxa"/>
            <w:tcBorders/>
          </w:tcPr>
          <w:p>
            <w:pPr>
              <w:pStyle w:val="TableParagraph"/>
              <w:spacing w:before="50" w:after="0"/>
              <w:ind w:start="178"/>
              <w:rPr>
                <w:sz w:val="13"/>
              </w:rPr>
            </w:pPr>
            <w:r>
              <w:rPr>
                <w:color w:val="151515"/>
                <w:spacing w:val="-4"/>
                <w:w w:val="105"/>
                <w:sz w:val="13"/>
              </w:rPr>
              <w:t>2.56</w:t>
            </w:r>
          </w:p>
        </w:tc>
        <w:tc>
          <w:tcPr>
            <w:tcW w:w="1585" w:type="dxa"/>
            <w:tcBorders/>
          </w:tcPr>
          <w:p>
            <w:pPr>
              <w:pStyle w:val="TableParagraph"/>
              <w:spacing w:before="50" w:after="0"/>
              <w:ind w:start="103"/>
              <w:rPr>
                <w:sz w:val="13"/>
              </w:rPr>
            </w:pPr>
            <w:r>
              <w:rPr>
                <w:color w:val="151515"/>
                <w:spacing w:val="-4"/>
                <w:w w:val="105"/>
                <w:sz w:val="13"/>
              </w:rPr>
              <w:t>8.60</w:t>
            </w:r>
          </w:p>
        </w:tc>
        <w:tc>
          <w:tcPr>
            <w:tcW w:w="1940" w:type="dxa"/>
            <w:tcBorders/>
          </w:tcPr>
          <w:p>
            <w:pPr>
              <w:pStyle w:val="TableParagraph"/>
              <w:spacing w:before="50" w:after="0"/>
              <w:ind w:start="63"/>
              <w:rPr>
                <w:sz w:val="13"/>
              </w:rPr>
            </w:pPr>
            <w:r>
              <w:rPr>
                <w:color w:val="151515"/>
                <w:spacing w:val="-5"/>
                <w:w w:val="105"/>
                <w:sz w:val="13"/>
              </w:rPr>
              <w:t>A40</w:t>
            </w:r>
          </w:p>
        </w:tc>
      </w:tr>
      <w:tr>
        <w:trPr>
          <w:trHeight w:val="200" w:hRule="atLeast"/>
        </w:trPr>
        <w:tc>
          <w:tcPr>
            <w:tcW w:w="1334" w:type="dxa"/>
            <w:tcBorders/>
          </w:tcPr>
          <w:p>
            <w:pPr>
              <w:pStyle w:val="TableParagraph"/>
              <w:spacing w:lineRule="exact" w:line="130" w:before="50" w:after="0"/>
              <w:rPr>
                <w:sz w:val="13"/>
              </w:rPr>
            </w:pPr>
            <w:r>
              <w:rPr>
                <w:color w:val="151515"/>
                <w:sz w:val="13"/>
              </w:rPr>
              <w:t>nnU-</w:t>
            </w:r>
            <w:r>
              <w:rPr>
                <w:color w:val="151515"/>
                <w:spacing w:val="-5"/>
                <w:sz w:val="13"/>
              </w:rPr>
              <w:t>Net</w:t>
            </w:r>
          </w:p>
        </w:tc>
        <w:tc>
          <w:tcPr>
            <w:tcW w:w="1654" w:type="dxa"/>
            <w:tcBorders/>
          </w:tcPr>
          <w:p>
            <w:pPr>
              <w:pStyle w:val="TableParagraph"/>
              <w:spacing w:lineRule="exact" w:line="130" w:before="50" w:after="0"/>
              <w:ind w:start="366"/>
              <w:rPr>
                <w:sz w:val="13"/>
              </w:rPr>
            </w:pPr>
            <w:r>
              <w:rPr>
                <w:color w:val="151515"/>
                <w:sz w:val="13"/>
              </w:rPr>
              <w:t>107</w:t>
            </w:r>
            <w:r>
              <w:rPr>
                <w:color w:val="151515"/>
                <w:spacing w:val="13"/>
                <w:sz w:val="13"/>
              </w:rPr>
              <w:t xml:space="preserve"> </w:t>
            </w:r>
            <w:r>
              <w:rPr>
                <w:color w:val="151515"/>
                <w:sz w:val="13"/>
              </w:rPr>
              <w:t>(100–</w:t>
            </w:r>
            <w:r>
              <w:rPr>
                <w:color w:val="151515"/>
                <w:spacing w:val="-4"/>
                <w:sz w:val="13"/>
              </w:rPr>
              <w:t>150)</w:t>
            </w:r>
          </w:p>
        </w:tc>
        <w:tc>
          <w:tcPr>
            <w:tcW w:w="1918" w:type="dxa"/>
            <w:tcBorders/>
          </w:tcPr>
          <w:p>
            <w:pPr>
              <w:pStyle w:val="TableParagraph"/>
              <w:spacing w:lineRule="exact" w:line="130" w:before="50" w:after="0"/>
              <w:ind w:start="260"/>
              <w:rPr>
                <w:sz w:val="13"/>
              </w:rPr>
            </w:pPr>
            <w:r>
              <w:rPr>
                <w:color w:val="151515"/>
                <w:sz w:val="13"/>
              </w:rPr>
              <w:t>6.72</w:t>
            </w:r>
            <w:r>
              <w:rPr>
                <w:color w:val="151515"/>
                <w:spacing w:val="13"/>
                <w:sz w:val="13"/>
              </w:rPr>
              <w:t xml:space="preserve"> </w:t>
            </w:r>
            <w:r>
              <w:rPr>
                <w:color w:val="151515"/>
                <w:sz w:val="13"/>
              </w:rPr>
              <w:t>(4.31–</w:t>
            </w:r>
            <w:r>
              <w:rPr>
                <w:color w:val="151515"/>
                <w:spacing w:val="-2"/>
                <w:sz w:val="13"/>
              </w:rPr>
              <w:t>10.80)</w:t>
            </w:r>
          </w:p>
        </w:tc>
        <w:tc>
          <w:tcPr>
            <w:tcW w:w="1236" w:type="dxa"/>
            <w:tcBorders/>
          </w:tcPr>
          <w:p>
            <w:pPr>
              <w:pStyle w:val="TableParagraph"/>
              <w:spacing w:lineRule="exact" w:line="130" w:before="50" w:after="0"/>
              <w:ind w:start="178"/>
              <w:rPr>
                <w:sz w:val="13"/>
              </w:rPr>
            </w:pPr>
            <w:r>
              <w:rPr>
                <w:color w:val="151515"/>
                <w:spacing w:val="-4"/>
                <w:w w:val="105"/>
                <w:sz w:val="13"/>
              </w:rPr>
              <w:t>8.02</w:t>
            </w:r>
          </w:p>
        </w:tc>
        <w:tc>
          <w:tcPr>
            <w:tcW w:w="1585" w:type="dxa"/>
            <w:tcBorders/>
          </w:tcPr>
          <w:p>
            <w:pPr>
              <w:pStyle w:val="TableParagraph"/>
              <w:spacing w:lineRule="exact" w:line="130" w:before="50" w:after="0"/>
              <w:ind w:start="103"/>
              <w:rPr>
                <w:sz w:val="13"/>
              </w:rPr>
            </w:pPr>
            <w:r>
              <w:rPr>
                <w:color w:val="151515"/>
                <w:spacing w:val="-4"/>
                <w:w w:val="105"/>
                <w:sz w:val="13"/>
              </w:rPr>
              <w:t>2.74</w:t>
            </w:r>
          </w:p>
        </w:tc>
        <w:tc>
          <w:tcPr>
            <w:tcW w:w="1940" w:type="dxa"/>
            <w:tcBorders/>
          </w:tcPr>
          <w:p>
            <w:pPr>
              <w:pStyle w:val="TableParagraph"/>
              <w:spacing w:lineRule="exact" w:line="130" w:before="50" w:after="0"/>
              <w:ind w:start="63"/>
              <w:rPr>
                <w:sz w:val="13"/>
              </w:rPr>
            </w:pPr>
            <w:r>
              <w:rPr>
                <w:color w:val="151515"/>
                <w:sz w:val="13"/>
              </w:rPr>
              <w:t>P100,</w:t>
            </w:r>
            <w:r>
              <w:rPr>
                <w:color w:val="151515"/>
                <w:spacing w:val="10"/>
                <w:sz w:val="13"/>
              </w:rPr>
              <w:t xml:space="preserve"> </w:t>
            </w:r>
            <w:r>
              <w:rPr>
                <w:color w:val="151515"/>
                <w:sz w:val="13"/>
              </w:rPr>
              <w:t>T4/A40</w:t>
            </w:r>
            <w:r>
              <w:rPr>
                <w:color w:val="151515"/>
                <w:spacing w:val="10"/>
                <w:sz w:val="13"/>
              </w:rPr>
              <w:t xml:space="preserve"> </w:t>
            </w:r>
            <w:r>
              <w:rPr>
                <w:color w:val="151515"/>
                <w:sz w:val="13"/>
              </w:rPr>
              <w:t>resume,</w:t>
            </w:r>
            <w:r>
              <w:rPr>
                <w:color w:val="151515"/>
                <w:spacing w:val="9"/>
                <w:sz w:val="13"/>
              </w:rPr>
              <w:t xml:space="preserve"> </w:t>
            </w:r>
            <w:r>
              <w:rPr>
                <w:color w:val="151515"/>
                <w:spacing w:val="-5"/>
                <w:sz w:val="13"/>
              </w:rPr>
              <w:t>A40</w:t>
            </w:r>
          </w:p>
        </w:tc>
      </w:tr>
    </w:tbl>
    <w:p>
      <w:pPr>
        <w:pStyle w:val="BodyText"/>
        <w:spacing w:lineRule="auto" w:line="302" w:before="57" w:after="0"/>
        <w:ind w:start="31" w:end="95"/>
        <w:rPr>
          <w:color w:val="151515"/>
        </w:rPr>
      </w:pPr>
      <w:r>
        <w:rPr>
          <w:color w:val="151515"/>
        </w:rPr>
      </w:r>
    </w:p>
    <w:p>
      <w:pPr>
        <w:pStyle w:val="BodyText"/>
        <w:spacing w:lineRule="auto" w:line="302" w:before="57" w:after="0"/>
        <w:ind w:start="31" w:end="95"/>
        <w:rPr>
          <w:color w:val="151515"/>
        </w:rPr>
        <w:sectPr>
          <w:headerReference w:type="even" ns5:id="rId25"/>
          <w:headerReference w:type="default" ns5:id="rId26"/>
          <w:headerReference w:type="first" ns5:id="rId27"/>
          <w:footerReference w:type="even" ns5:id="rId28"/>
          <w:footerReference w:type="default" ns5:id="rId29"/>
          <w:footerReference w:type="first" ns5:id="rId30"/>
          <w:type w:val="nextPage"/>
          <w:pgSz w:w="11906" w:h="16838"/>
          <w:pgMar w:left="1133" w:right="992" w:gutter="0" w:header="1600" w:top="1780" w:footer="1056" w:bottom="1240"/>
          <w:pgNumType w:fmt="decimal"/>
          <w:formProt w:val="false"/>
          <w:textDirection w:val="lrTb"/>
          <w:docGrid w:type="default" w:linePitch="100" w:charSpace="0"/>
        </w:sectPr>
      </w:pPr>
      <w:r>
        <w:rPr>
          <w:color w:val="151515"/>
        </w:rPr>
        <w:t>Representative cases were selected based on a reproducible rule following numerical analysis: the case closest to the median across all models, the case closest to the lower decile, and the case with the highest standard deviation of the Dice coefficient across models. A requirement was that all selected cases had to involve different patients. For each model, the same axial slice was displayed—specifically, the slice showing the maximum area of ​​the combined tumor region according to the reference annotation (Figure 6). These examples demonstrate both the sharper boundaries achieved with nnU-Net and instances where small components were missed; they were not manually selected based on visual appeal.</w:t>
      </w:r>
    </w:p>
    <w:p>
      <w:pPr>
        <w:pStyle w:val="BodyText"/>
        <w:spacing w:before="8" w:after="0"/>
        <w:ind w:start="0"/>
        <w:jc w:val="start"/>
        <w:rPr>
          <w:sz w:val="15"/>
        </w:rPr>
      </w:pPr>
      <w:r>
        <w:rPr>
          <w:sz w:val="15"/>
        </w:rPr>
      </w:r>
    </w:p>
    <w:p>
      <w:pPr>
        <w:pStyle w:val="Normal"/>
        <w:ind w:start="96"/>
        <w:rPr>
          <w:sz w:val="20"/>
        </w:rPr>
      </w:pPr>
      <w:r>
        <w:rPr/>
        <w:drawing>
          <ns2:inline distT="0" distB="0" distL="0" distR="0">
            <ns2:extent cx="5910580" cy="3072130"/>
            <ns2:effectExtent l="0" t="0" r="0" b="0"/>
            <ns2:docPr id="22" name="Image 8" descr="Representative out-of-fold prediction masks"/>
            <ns2:cNvGraphicFramePr>
              <ns3:graphicFrameLocks noChangeAspect="1"/>
            </ns2:cNvGraphicFramePr>
            <ns3:graphic>
              <ns3:graphicData uri="http://schemas.openxmlformats.org/drawingml/2006/picture">
                <ns4:pic>
                  <ns4:nvPicPr>
                    <ns4:cNvPr id="22" name="Image 8" descr="Representative out-of-fold prediction masks"/>
                    <ns4:cNvPicPr>
                      <ns3:picLocks noChangeAspect="1" noChangeArrowheads="1"/>
                    </ns4:cNvPicPr>
                  </ns4:nvPicPr>
                  <ns4:blipFill>
                    <ns3:blip ns5:embed="rId31"/>
                    <ns3:stretch>
                      <ns3:fillRect/>
                    </ns3:stretch>
                  </ns4:blipFill>
                  <ns4:spPr bwMode="auto">
                    <ns3:xfrm>
                      <ns3:off x="0" y="0"/>
                      <ns3:ext cx="5910580" cy="3072130"/>
                    </ns3:xfrm>
                    <ns3:prstGeom prst="rect">
                      <ns3:avLst/>
                    </ns3:prstGeom>
                    <ns3:noFill/>
                  </ns4:spPr>
                </ns4:pic>
              </ns3:graphicData>
            </ns3:graphic>
          </ns2:inline>
        </w:drawing>
      </w:r>
    </w:p>
    <w:p>
      <w:pPr>
        <w:pStyle w:val="BodyText"/>
        <w:spacing w:before="128" w:after="0"/>
        <w:ind w:start="0"/>
        <w:jc w:val="start"/>
        <w:rPr>
          <w:sz w:val="17"/>
        </w:rPr>
      </w:pPr>
      <w:r>
        <w:rPr>
          <w:sz w:val="17"/>
        </w:rPr>
      </w:r>
    </w:p>
    <w:p>
      <w:pPr>
        <w:pStyle w:val="Normal"/>
        <w:spacing w:lineRule="auto" w:line="286"/>
        <w:ind w:start="31" w:end="6"/>
        <w:rPr>
          <w:rFonts w:ascii="Arial MT" w:hAnsi="Arial MT"/>
          <w:color w:val="151515"/>
          <w:w w:val="105"/>
          <w:sz w:val="17"/>
        </w:rPr>
      </w:pPr>
      <w:r>
        <w:rPr>
          <w:rFonts w:ascii="Arial MT" w:hAnsi="Arial MT"/>
          <w:color w:val="151515"/>
          <w:w w:val="105"/>
          <w:sz w:val="17"/>
        </w:rPr>
        <w:t>Figure 6. Representative predictions on out-of-fold data. Contrast-enhanced T1-weighted images are shown overlaid with multiclass reference annotations or predictions from the corresponding model of the main outer fold. The rows display a typical case (corresponding to the median), a challenging case (corresponding to the lower decile), and the case with the greatest discrepancy between models. All predictions were obtained for patients excluded from the datasets used to train and tune the respective model.</w:t>
      </w:r>
    </w:p>
    <w:p>
      <w:pPr>
        <w:pStyle w:val="BodyText"/>
        <w:spacing w:before="0" w:after="0"/>
        <w:ind w:start="0"/>
        <w:jc w:val="start"/>
        <w:rPr>
          <w:rFonts w:ascii="Arial MT" w:hAnsi="Arial MT"/>
          <w:sz w:val="17"/>
        </w:rPr>
      </w:pPr>
      <w:r>
        <w:rPr>
          <w:rFonts w:ascii="Arial MT" w:hAnsi="Arial MT"/>
          <w:sz w:val="17"/>
        </w:rPr>
      </w:r>
    </w:p>
    <w:p>
      <w:pPr>
        <w:pStyle w:val="BodyText"/>
        <w:spacing w:before="105" w:after="0"/>
        <w:ind w:start="0"/>
        <w:jc w:val="start"/>
        <w:rPr>
          <w:rFonts w:ascii="Arial MT" w:hAnsi="Arial MT"/>
          <w:sz w:val="17"/>
        </w:rPr>
      </w:pPr>
      <w:r>
        <w:rPr>
          <w:rFonts w:ascii="Arial MT" w:hAnsi="Arial MT"/>
          <w:sz w:val="17"/>
        </w:rPr>
      </w:r>
    </w:p>
    <w:p>
      <w:pPr>
        <w:pStyle w:val="ListParagraph"/>
        <w:numPr>
          <w:ilvl w:val="0"/>
          <w:numId w:val="3"/>
        </w:numPr>
        <w:outlineLvl w:val="0"/>
        <w:rPr>
          <w:b/>
        </w:rPr>
      </w:pPr>
      <w:bookmarkStart w:id="20" w:name="4._Discussion"/>
      <w:bookmarkEnd w:id="20"/>
      <w:r>
        <w:rPr>
          <w:b/>
        </w:rPr>
        <w:t>Discussion</w:t>
      </w:r>
    </w:p>
    <w:p>
      <w:pPr>
        <w:pStyle w:val="BodyText"/>
        <w:spacing w:before="71" w:after="0"/>
        <w:ind w:start="0"/>
        <w:jc w:val="start"/>
        <w:rPr>
          <w:rFonts w:ascii="Arial" w:hAnsi="Arial"/>
          <w:b/>
          <w:sz w:val="28"/>
        </w:rPr>
      </w:pPr>
      <w:r>
        <w:rPr>
          <w:rFonts w:ascii="Arial" w:hAnsi="Arial"/>
          <w:b/>
          <w:sz w:val="28"/>
        </w:rPr>
      </w:r>
    </w:p>
    <w:p>
      <w:pPr>
        <w:pStyle w:val="ListParagraph"/>
        <w:numPr>
          <w:ilvl w:val="1"/>
          <w:numId w:val="3"/>
        </w:numPr>
        <w:outlineLvl w:val="1"/>
        <w:rPr>
          <w:b/>
        </w:rPr>
      </w:pPr>
      <w:bookmarkStart w:id="21" w:name="4.1_Principal_findings"/>
      <w:bookmarkEnd w:id="21"/>
      <w:r>
        <w:rPr>
          <w:b/>
        </w:rPr>
        <w:t>Principal findings</w:t>
      </w:r>
    </w:p>
    <w:p>
      <w:pPr>
        <w:pStyle w:val="BodyText"/>
        <w:spacing w:lineRule="auto" w:line="302"/>
        <w:ind w:start="31" w:end="98"/>
        <w:rPr>
          <w:color w:val="151515"/>
        </w:rPr>
      </w:pPr>
      <w:r>
        <w:rPr>
          <w:color w:val="151515"/>
        </w:rPr>
        <w:t>In this benchmark, utilizing five-fold cross-validation with patient-based grouping, variations in the Keras architectures under evaluation resulted in statistically significant yet minor differences. Residual U-Net and V-Net improved the median patient-level Dice coefficient for the combined tumor region by less than one percentage point compared to 3D U-Net, whereas the tested U-Net++ implementation showed no improvement. The practical conclusion is that architectural novelty alone was not the primary determinant of performance when using a shared pipeline that employed identical patch parameters, loss function, sampling strategy, optimization, early stopping, and inference procedures.</w:t>
      </w:r>
    </w:p>
    <w:p>
      <w:pPr>
        <w:pStyle w:val="BodyText"/>
        <w:spacing w:lineRule="auto" w:line="302"/>
        <w:ind w:start="31" w:end="98"/>
        <w:rPr>
          <w:color w:val="151515"/>
        </w:rPr>
      </w:pPr>
      <w:r>
        <w:rPr>
          <w:color w:val="151515"/>
        </w:rPr>
        <w:t>The nnU-Net pipeline demonstrated a substantially greater improvement during internal testing. Its median advantage in pairwise comparisons against the predefined Residual U-Net baseline was 0.076 in terms of the Dice coefficient, accompanied by a pronounced positive rank-biserial effect. nnU-Net improved Dice scores for every individual class, significantly reduced HD95, increased the surface Dice coefficient at a 1 mm threshold, and reduced the number of predictions in cases where target regions were absent. This effect persisted after excluding the 41 previously studied patients and was observed across all five outer folds.</w:t>
      </w:r>
    </w:p>
    <w:p>
      <w:pPr>
        <w:pStyle w:val="BodyText"/>
        <w:spacing w:lineRule="auto" w:line="302" w:before="129" w:after="0"/>
        <w:ind w:start="31" w:end="95"/>
        <w:rPr>
          <w:color w:val="151515"/>
        </w:rPr>
      </w:pPr>
      <w:r>
        <w:rPr>
          <w:color w:val="151515"/>
        </w:rPr>
        <w:t>A broader set of metrics significantly alters the interpretation of the results. nnU-Net outperformed other models in terms of overlap, boundary accuracy, and specificity in the absence of a target region; however, its patient-level lesion sensitivity was not consistently higher. In some instances, nnU-Net’s more conservative masks failed to capture small components, resulting in undefined surface-to-surface distance values ​​when the target region was not detected at all. Thus, the model can produce more sharply defined segmented regions and achieve a higher Dice coefficient while simultaneously detecting fewer small lesions. The acceptability of this trade-off depends on the intended clinical or research application; this technical study does not define the appropriate utility function.</w:t>
      </w:r>
    </w:p>
    <w:p>
      <w:pPr>
        <w:pStyle w:val="BodyText"/>
        <w:spacing w:lineRule="auto" w:line="302" w:before="129" w:after="0"/>
        <w:ind w:start="31" w:end="95"/>
        <w:rPr>
          <w:color w:val="151515"/>
        </w:rPr>
      </w:pPr>
      <w:r>
        <w:rPr>
          <w:color w:val="151515"/>
        </w:rPr>
      </w:r>
    </w:p>
    <w:p>
      <w:pPr>
        <w:pStyle w:val="ListParagraph"/>
        <w:numPr>
          <w:ilvl w:val="1"/>
          <w:numId w:val="3"/>
        </w:numPr>
        <w:outlineLvl w:val="1"/>
        <w:rPr>
          <w:b/>
        </w:rPr>
      </w:pPr>
      <w:bookmarkStart w:id="22" w:name="4.2_Relation_to_prior_work_and_annotatio"/>
      <w:bookmarkEnd w:id="22"/>
      <w:r>
        <w:rPr>
          <w:b/>
        </w:rPr>
        <w:t>Relation to prior work and annotation provenance</w:t>
      </w:r>
    </w:p>
    <w:p>
      <w:pPr>
        <w:pStyle w:val="BodyText"/>
        <w:spacing w:lineRule="auto" w:line="302" w:before="99" w:after="0"/>
        <w:ind w:start="31" w:end="91"/>
        <w:rPr>
          <w:color w:val="151515"/>
        </w:rPr>
      </w:pPr>
      <w:r>
        <w:rPr>
          <w:color w:val="151515"/>
        </w:rPr>
        <w:t xml:space="preserve">In a previous study on post-treatment gliomas, 3D nnU-Net achieved Dice scores in the approximate range of 0.72–0.89 for various tissue target regions and demonstrated the potential of automated longitudinal volumetry [10]. A direct numerical comparison is inappropriate due to differences in cohorts, segmentation class definitions, aggregation methods, and evaluation schemes. </w:t>
      </w:r>
    </w:p>
    <w:p>
      <w:pPr>
        <w:pStyle w:val="BodyText"/>
        <w:spacing w:lineRule="auto" w:line="302" w:before="99" w:after="0"/>
        <w:ind w:start="31" w:end="91"/>
        <w:rPr>
          <w:color w:val="151515"/>
        </w:rPr>
      </w:pPr>
      <w:r>
        <w:rPr>
          <w:color w:val="151515"/>
        </w:rPr>
        <w:t>The present study complements these findings by employing a controlled family of architectures, a pairwise patient-level comparison within a five-fold cross-validation framework, repeated runs with different random seeds, an analysis of empty target regions, and a consistent approach to saving all predictions.</w:t>
      </w:r>
    </w:p>
    <w:p>
      <w:pPr>
        <w:pStyle w:val="BodyText"/>
        <w:spacing w:lineRule="auto" w:line="302" w:before="128" w:after="0"/>
        <w:ind w:start="31" w:end="96"/>
        <w:rPr>
          <w:color w:val="151515"/>
        </w:rPr>
      </w:pPr>
      <w:r>
        <w:rPr>
          <w:color w:val="151515"/>
        </w:rPr>
        <w:t>The magnitude of nnU-Net’s advantage should also be interpreted in light of the origin of the reference annotations. The MU-Glioma-Post masks were initially generated using an automated ensemble comprising nnU-Net, DeepMedic, and DeepScan [1]. They subsequently underwent initial manual correction, independent verification by radiology trainees, and consensus review by two board-certified neuroradiologists [1]. Such a rigorous process significantly reduces the likelihood of the annotations simply inheriting the automated predictions. Nevertheless, since the tested nnU-Net belongs to the same model family as one of the models used during the initial generation phase—even though it employs neither the same weights nor the same training split—one cannot entirely rule out a residual influence from the original predictions or a specific model-family effect on the published annotations. The result remains a valid comparison against the expert-refined reference standard; however, independent external evaluation is required to determine whether the observed model ranking holds true when using independently annotated data.</w:t>
      </w:r>
    </w:p>
    <w:p>
      <w:pPr>
        <w:pStyle w:val="BodyText"/>
        <w:spacing w:before="102" w:after="0"/>
        <w:ind w:start="0"/>
        <w:jc w:val="start"/>
        <w:rPr/>
      </w:pPr>
      <w:r>
        <w:rPr/>
      </w:r>
    </w:p>
    <w:p>
      <w:pPr>
        <w:pStyle w:val="ListParagraph"/>
        <w:numPr>
          <w:ilvl w:val="1"/>
          <w:numId w:val="3"/>
        </w:numPr>
        <w:outlineLvl w:val="1"/>
        <w:rPr>
          <w:b/>
        </w:rPr>
      </w:pPr>
      <w:bookmarkStart w:id="23" w:name="4.3_Methodological_strengths"/>
      <w:bookmarkEnd w:id="23"/>
      <w:r>
        <w:rPr>
          <w:b/>
        </w:rPr>
        <w:t>Methodological strengths</w:t>
      </w:r>
    </w:p>
    <w:p>
      <w:pPr>
        <w:pStyle w:val="BodyText"/>
        <w:spacing w:lineRule="auto" w:line="302" w:before="99" w:after="0"/>
        <w:ind w:start="31" w:end="95"/>
        <w:rPr>
          <w:color w:val="151515"/>
        </w:rPr>
      </w:pPr>
      <w:r>
        <w:rPr>
          <w:color w:val="151515"/>
        </w:rPr>
        <w:t>Several study design features mitigate the typical limitations of small-scale AI studies in medical image analysis. All longitudinal time points remained within their respective patient groups. Each outer fold included a distinct patient-level subset designated for model checkpoint selection, thereby preventing data from the outer test set from influencing early stopping or model selection. The primary matrix included each patient once per architecture; repeated runs with different random seeds were treated separately and excluded from the patient count used for statistical inference. The statistical plan pre-specified the control model and the family of comparisons—including adjustments for multiple testing—prior to the finalization of the dataset. In accordance with the pre-defined sensitivity analysis plan, patients whose results had already been analyzed in a previously used hold-out set were excluded.</w:t>
      </w:r>
    </w:p>
    <w:p>
      <w:pPr>
        <w:pStyle w:val="BodyText"/>
        <w:spacing w:lineRule="auto" w:line="302" w:before="129" w:after="0"/>
        <w:ind w:start="31" w:end="94"/>
        <w:rPr>
          <w:color w:val="151515"/>
        </w:rPr>
      </w:pPr>
      <w:r>
        <w:rPr>
          <w:color w:val="151515"/>
        </w:rPr>
        <w:t>Preserving the full results also enabled the use of standardized metrics that were not feasible in earlier experiments relying solely on aggregated data. All models were evaluated using consistent criteria for scans with reference annotations, surface-based metrics in physical spatial units, lesion definitions based on connected components, and a separate analysis of cases lacking a reference target region. Selected checkpoints, predictions, logs, configurations, data split hashes, hardware and software environment details, telemetry, manifests, and checksums have been preserved and retained for audit.</w:t>
      </w:r>
    </w:p>
    <w:p>
      <w:pPr>
        <w:pStyle w:val="BodyText"/>
        <w:ind w:start="0"/>
        <w:jc w:val="start"/>
        <w:rPr/>
      </w:pPr>
      <w:r>
        <w:rPr/>
      </w:r>
    </w:p>
    <w:p>
      <w:pPr>
        <w:pStyle w:val="ListParagraph"/>
        <w:numPr>
          <w:ilvl w:val="1"/>
          <w:numId w:val="3"/>
        </w:numPr>
        <w:outlineLvl w:val="1"/>
        <w:rPr>
          <w:b/>
        </w:rPr>
      </w:pPr>
      <w:bookmarkStart w:id="24" w:name="4.4_Limitations"/>
      <w:bookmarkEnd w:id="24"/>
      <w:r>
        <w:rPr>
          <w:b/>
        </w:rPr>
        <w:t>Limitations</w:t>
      </w:r>
    </w:p>
    <w:p>
      <w:pPr>
        <w:pStyle w:val="BodyText"/>
        <w:spacing w:lineRule="auto" w:line="302" w:before="99" w:after="0"/>
        <w:ind w:start="31" w:end="101"/>
        <w:rPr>
          <w:color w:val="151515"/>
        </w:rPr>
      </w:pPr>
      <w:r>
        <w:rPr>
          <w:color w:val="151515"/>
        </w:rPr>
        <w:t>First, this involves internal testing on a single publicly available dataset. While cross-validation allows for the efficient use of the cohort, it does not assess the generalizability of results across different institutions, scanner manufacturers, magnetic field strengths, imaging protocols, populations, or independently generated annotations. The results obtained do not provide a basis for drawing conclusions regarding the feasibility of clinical implementation.</w:t>
      </w:r>
    </w:p>
    <w:p>
      <w:pPr>
        <w:pStyle w:val="BodyText"/>
        <w:spacing w:lineRule="auto" w:line="302" w:before="127" w:after="0"/>
        <w:ind w:start="31" w:end="96"/>
        <w:rPr>
          <w:color w:val="151515"/>
        </w:rPr>
      </w:pPr>
      <w:r>
        <w:rPr>
          <w:color w:val="151515"/>
        </w:rPr>
        <w:t xml:space="preserve">Secondly, the reference annotation was initially generated using an ensemble that included nnU-Net and subsequently underwent a rigorous three-level manual review, culminating in a consensus reached by two board-certified neuroradiologists [1]. This process significantly reduces the likelihood of systematic bias stemming from the initial generation. However, since the independently created </w:t>
      </w:r>
      <w:r>
        <w:rPr>
          <w:i/>
          <w:color w:val="151515"/>
        </w:rPr>
        <w:t>de novo</w:t>
      </w:r>
      <w:r>
        <w:rPr>
          <w:color w:val="151515"/>
        </w:rPr>
        <w:t xml:space="preserve"> annotations and individual masks were not published, the residual influence of the initial annotation, inter-rater variability, and boundary uncertainty cannot be quantified. While this represents a potential source of bias associated with the use of the same model family, it does not indicate that such bias determined the obtained results.</w:t>
      </w:r>
    </w:p>
    <w:p>
      <w:pPr>
        <w:pStyle w:val="BodyText"/>
        <w:spacing w:lineRule="auto" w:line="302" w:before="140" w:after="0"/>
        <w:ind w:start="0" w:end="95"/>
        <w:rPr>
          <w:color w:val="151515"/>
        </w:rPr>
      </w:pPr>
      <w:r>
        <w:rPr>
          <w:color w:val="151515"/>
        </w:rPr>
        <w:t>Third, each architecture is represented by a single implementation and a single fixed hyperparameter configuration. The chosen parameters were robust and consistent; however, the study does not demonstrate that they are optimal. Exhaustive or nested hyperparameter optimization was beyond the available computational budget; therefore, the findings pertain to the specific, predefined implementations of these architectures rather than the best potentially achievable version of each.</w:t>
      </w:r>
    </w:p>
    <w:p>
      <w:pPr>
        <w:pStyle w:val="BodyText"/>
        <w:spacing w:lineRule="auto" w:line="302" w:before="128" w:after="0"/>
        <w:ind w:start="31" w:end="106"/>
        <w:rPr>
          <w:color w:val="151515"/>
        </w:rPr>
      </w:pPr>
      <w:r>
        <w:rPr>
          <w:color w:val="151515"/>
        </w:rPr>
        <w:t>Fourth, nnU-Net modifies multiple components simultaneously. Its difference from Keras models cannot be explained solely by network topology. It also featured a larger number of parameters, different patch and batch sizes, framework-specific augmentation and optimization methods, and a longer training duration before stopping. This was a deliberately chosen practical comparison of complete pipelines.</w:t>
      </w:r>
    </w:p>
    <w:p>
      <w:pPr>
        <w:pStyle w:val="BodyText"/>
        <w:spacing w:lineRule="auto" w:line="302" w:before="128" w:after="0"/>
        <w:ind w:start="31" w:end="94"/>
        <w:rPr>
          <w:color w:val="151515"/>
        </w:rPr>
      </w:pPr>
      <w:r>
        <w:rPr>
          <w:color w:val="151515"/>
        </w:rPr>
        <w:t>Fifth, robustness to changes in the initial state (seed) was evaluated using only two additional seeds on fold 1. Although this approach is more informative than an analysis based on a single seed, it does not fully characterize optimization variability or the interaction between seeds and folds. Two nnU-Net runs reached the set limit of 150 epochs; therefore, the possibility of further performance improvements with continued training cannot be ruled out. All Keras models adhered to the established early stopping rule.</w:t>
      </w:r>
    </w:p>
    <w:p>
      <w:pPr>
        <w:pStyle w:val="BodyText"/>
        <w:spacing w:lineRule="auto" w:line="302" w:before="128" w:after="0"/>
        <w:ind w:start="31" w:end="97"/>
        <w:rPr>
          <w:color w:val="151515"/>
        </w:rPr>
      </w:pPr>
      <w:r>
        <w:rPr>
          <w:color w:val="151515"/>
        </w:rPr>
        <w:t>Sixth, some subsets of the target regions remain small. Enhancing tissue was absent in 48 scans, and a cavity in 74; FLAIR hyperintensity was absent in only three scans. Consequently, the corresponding confidence intervals for cases where the reference annotation is absent are characterized by low precision. Lesion sensitivity also depends on the chosen definition of 26-connectivity and the "any-overlap" detection rule; small, disconnected components of the reference annotation can significantly affect the number of detected lesions.</w:t>
      </w:r>
    </w:p>
    <w:p>
      <w:pPr>
        <w:pStyle w:val="BodyText"/>
        <w:spacing w:lineRule="auto" w:line="302" w:before="128" w:after="0"/>
        <w:ind w:start="31" w:end="91"/>
        <w:rPr>
          <w:color w:val="151515"/>
        </w:rPr>
      </w:pPr>
      <w:r>
        <w:rPr>
          <w:color w:val="151515"/>
        </w:rPr>
        <w:t>Seventh, due to resource constraints, runs were performed on P100, T4, A40, and RTX 3050 (laptop) GPUs. While fixed seeds and preserved software environments enhance reproducibility and allow for experiment tracking, exact floating-point computation trajectories may vary depending on the hardware. GPU allocation was tied to specific model families; consequently, comparisons of execution time, memory usage, and inference speed are descriptive in nature rather than controlled benchmarks.</w:t>
      </w:r>
    </w:p>
    <w:p>
      <w:pPr>
        <w:pStyle w:val="BodyText"/>
        <w:spacing w:lineRule="auto" w:line="302" w:before="127" w:after="0"/>
        <w:ind w:start="31" w:end="97"/>
        <w:rPr>
          <w:color w:val="151515"/>
        </w:rPr>
      </w:pPr>
      <w:r>
        <w:rPr>
          <w:color w:val="151515"/>
        </w:rPr>
        <w:t>Finally, the study did not evaluate calibration, the presentation of uncertainty information, the accuracy of longitudinal volume change measurements, the impact on clinical decisions and outcomes, fairness across different demographic or molecular groups, or the impact on prospective workflows. The limited racial diversity of the published cohort further restricts the ability to assess fairness and the generalizability of the results [1].</w:t>
      </w:r>
    </w:p>
    <w:p>
      <w:pPr>
        <w:pStyle w:val="BodyText"/>
        <w:ind w:start="0"/>
        <w:jc w:val="start"/>
        <w:rPr/>
      </w:pPr>
      <w:r>
        <w:rPr/>
      </w:r>
    </w:p>
    <w:p>
      <w:pPr>
        <w:pStyle w:val="ListParagraph"/>
        <w:numPr>
          <w:ilvl w:val="1"/>
          <w:numId w:val="3"/>
        </w:numPr>
        <w:outlineLvl w:val="1"/>
        <w:rPr>
          <w:b/>
        </w:rPr>
      </w:pPr>
      <w:bookmarkStart w:id="25" w:name="4.5_Future_work"/>
      <w:bookmarkEnd w:id="25"/>
      <w:r>
        <w:rPr>
          <w:b/>
        </w:rPr>
        <w:t>Future work</w:t>
      </w:r>
    </w:p>
    <w:p>
      <w:pPr>
        <w:pStyle w:val="BodyText"/>
        <w:spacing w:lineRule="auto" w:line="302"/>
        <w:ind w:start="31" w:end="91"/>
        <w:rPr>
          <w:color w:val="151515"/>
        </w:rPr>
      </w:pPr>
      <w:r>
        <w:rPr>
          <w:color w:val="151515"/>
        </w:rPr>
        <w:t>The next priority step is external testing using annotations created independently of the MU-Glioma-Post/nnU-Net workflow. UCSF-ALPTDG is a relevant publicly available resource for post-treatment data [12]; however, prior to its use, it is necessary to harmonize target region definitions, data preprocessing, and the permissible overlap between training and test sets. Future research should establish the correspondence between external datasets prior to reviewing results and, where possible, supplement the evaluation with a blinded review by certified neuroradiologists.</w:t>
      </w:r>
    </w:p>
    <w:p>
      <w:pPr>
        <w:pStyle w:val="BodyText"/>
        <w:spacing w:lineRule="auto" w:line="302" w:before="129" w:after="0"/>
        <w:ind w:start="31" w:end="95"/>
        <w:rPr>
          <w:color w:val="151515"/>
        </w:rPr>
      </w:pPr>
      <w:r>
        <w:rPr>
          <w:color w:val="151515"/>
        </w:rPr>
        <w:t>Future studies should replicate multiple runs with different initial states (seeds) for each fold, conduct nested hyperparameter optimization using consistent computational budgets, and investigate the trade-off between suppressing false positives and maintaining sensitivity to small lesions. Uncertainty estimation, calibration, metrics for longitudinal changes, and subgroup analysis should be pre-specified in the protocol and possess sufficient statistical power to support the claimed conclusions.</w:t>
      </w:r>
    </w:p>
    <w:p>
      <w:pPr>
        <w:pStyle w:val="Normal"/>
        <w:rPr/>
      </w:pPr>
      <w:r>
        <w:rPr/>
      </w:r>
      <w:bookmarkStart w:id="26" w:name="5._Conclusion"/>
      <w:bookmarkEnd w:id="26"/>
    </w:p>
    <w:p>
      <w:pPr>
        <w:pStyle w:val="ListParagraph"/>
        <w:numPr>
          <w:ilvl w:val="0"/>
          <w:numId w:val="3"/>
        </w:numPr>
        <w:outlineLvl w:val="0"/>
        <w:rPr>
          <w:b/>
        </w:rPr>
      </w:pPr>
      <w:r>
        <w:rPr>
          <w:b/>
        </w:rPr>
        <w:t>Conclusion</w:t>
      </w:r>
    </w:p>
    <w:p>
      <w:pPr>
        <w:pStyle w:val="BodyText"/>
        <w:spacing w:lineRule="auto" w:line="302" w:before="182" w:after="0"/>
        <w:ind w:start="31" w:end="99"/>
        <w:rPr>
          <w:color w:val="151515"/>
        </w:rPr>
      </w:pPr>
      <w:r>
        <w:rPr>
          <w:color w:val="151515"/>
        </w:rPr>
        <w:t>Five-fold patient-wise cross-validation showed that Residual U-Net and V-Net yielded slight improvements over 3D U-Net when using a common Keras pipeline, whereas the tested U-Net++ implementation did not demonstrate such an improvement. nnU-Net provided significantly better alignment with reference annotations, boundary accuracy, and performance in cases where the target region was absent, though it did not consistently improve lesion sensitivity. This result is best interpreted as a robust internal comparison of complete pipelines on the MU-Glioma-Post dataset. Independent external evaluation is required to determine the generalizability of these results beyond this expert-refined reference dataset.</w:t>
      </w:r>
    </w:p>
    <w:p>
      <w:pPr>
        <w:pStyle w:val="Heading1"/>
        <w:ind w:hanging="0" w:start="31"/>
        <w:rPr>
          <w:color w:val="16365D"/>
          <w:spacing w:val="-2"/>
        </w:rPr>
      </w:pPr>
      <w:r>
        <w:rPr>
          <w:color w:val="16365D"/>
          <w:spacing w:val="-2"/>
        </w:rPr>
      </w:r>
      <w:bookmarkStart w:id="27" w:name="Declarations"/>
      <w:bookmarkEnd w:id="27"/>
    </w:p>
    <w:p>
      <w:pPr>
        <w:pStyle w:val="Normal"/>
        <w:numPr>
          <w:ilvl w:val="0"/>
          <w:numId w:val="0"/>
        </w:numPr>
        <w:outlineLvl w:val="0"/>
        <w:rPr>
          <w:b/>
        </w:rPr>
      </w:pPr>
      <w:r>
        <w:rPr>
          <w:b/>
        </w:rPr>
        <w:t>Declarations</w:t>
      </w:r>
    </w:p>
    <w:p>
      <w:pPr>
        <w:pStyle w:val="BodyText"/>
        <w:spacing w:before="71" w:after="0"/>
        <w:ind w:start="0"/>
        <w:jc w:val="start"/>
        <w:rPr>
          <w:rFonts w:ascii="Arial" w:hAnsi="Arial"/>
          <w:b/>
          <w:sz w:val="28"/>
        </w:rPr>
      </w:pPr>
      <w:r>
        <w:rPr>
          <w:rFonts w:ascii="Arial" w:hAnsi="Arial"/>
          <w:b/>
          <w:sz w:val="28"/>
        </w:rPr>
      </w:r>
    </w:p>
    <w:p>
      <w:pPr>
        <w:pStyle w:val="Normal"/>
        <w:numPr>
          <w:ilvl w:val="0"/>
          <w:numId w:val="0"/>
        </w:numPr>
        <w:outlineLvl w:val="1"/>
        <w:rPr>
          <w:b/>
        </w:rPr>
      </w:pPr>
      <w:bookmarkStart w:id="28" w:name="Ethics_approval_and_consent_to_participa"/>
      <w:bookmarkEnd w:id="28"/>
      <w:r>
        <w:rPr>
          <w:b/>
        </w:rPr>
        <w:t>Ethics approval and consent to participate</w:t>
      </w:r>
    </w:p>
    <w:p>
      <w:pPr>
        <w:pStyle w:val="BodyText"/>
        <w:spacing w:lineRule="auto" w:line="302" w:before="99" w:after="0"/>
        <w:ind w:start="31" w:end="99"/>
        <w:rPr>
          <w:color w:val="151515"/>
        </w:rPr>
      </w:pPr>
      <w:r>
        <w:rPr>
          <w:color w:val="151515"/>
        </w:rPr>
        <w:t>This computational study was a secondary analysis of a publicly available, de-identified dataset; no participants were recruited, no participant contact occurred, and the authors had no access to identifiable information. The original dataset description reports the ethics procedures and institutional approval applicable to creation of the source collection [1]. No new participant consent was obtained for this computational reanalysis.</w:t>
      </w:r>
    </w:p>
    <w:p>
      <w:pPr>
        <w:pStyle w:val="BodyText"/>
        <w:ind w:start="0"/>
        <w:jc w:val="start"/>
        <w:rPr/>
      </w:pPr>
      <w:r>
        <w:rPr/>
      </w:r>
    </w:p>
    <w:p>
      <w:pPr>
        <w:pStyle w:val="Normal"/>
        <w:numPr>
          <w:ilvl w:val="0"/>
          <w:numId w:val="0"/>
        </w:numPr>
        <w:outlineLvl w:val="1"/>
        <w:rPr>
          <w:b/>
        </w:rPr>
      </w:pPr>
      <w:bookmarkStart w:id="29" w:name="Data_availability"/>
      <w:bookmarkEnd w:id="29"/>
      <w:r>
        <w:rPr>
          <w:b/>
        </w:rPr>
        <w:t>Data availability</w:t>
      </w:r>
    </w:p>
    <w:p>
      <w:pPr>
        <w:pStyle w:val="BodyText"/>
        <w:spacing w:lineRule="auto" w:line="302"/>
        <w:ind w:start="31" w:end="101"/>
        <w:rPr/>
      </w:pPr>
      <w:r>
        <w:rPr>
          <w:color w:val="151515"/>
        </w:rPr>
        <w:t>MU-Glioma-Post</w:t>
      </w:r>
      <w:r>
        <w:rPr>
          <w:color w:val="151515"/>
          <w:spacing w:val="-4"/>
        </w:rPr>
        <w:t xml:space="preserve"> </w:t>
      </w:r>
      <w:r>
        <w:rPr>
          <w:color w:val="151515"/>
        </w:rPr>
        <w:t>is</w:t>
      </w:r>
      <w:r>
        <w:rPr>
          <w:color w:val="151515"/>
          <w:spacing w:val="-4"/>
        </w:rPr>
        <w:t xml:space="preserve"> </w:t>
      </w:r>
      <w:r>
        <w:rPr>
          <w:color w:val="151515"/>
        </w:rPr>
        <w:t>available</w:t>
      </w:r>
      <w:r>
        <w:rPr>
          <w:color w:val="151515"/>
          <w:spacing w:val="-5"/>
        </w:rPr>
        <w:t xml:space="preserve"> </w:t>
      </w:r>
      <w:r>
        <w:rPr>
          <w:color w:val="151515"/>
        </w:rPr>
        <w:t>through</w:t>
      </w:r>
      <w:r>
        <w:rPr>
          <w:color w:val="151515"/>
          <w:spacing w:val="-5"/>
        </w:rPr>
        <w:t xml:space="preserve"> </w:t>
      </w:r>
      <w:r>
        <w:rPr>
          <w:color w:val="151515"/>
        </w:rPr>
        <w:t>The</w:t>
      </w:r>
      <w:r>
        <w:rPr>
          <w:color w:val="151515"/>
          <w:spacing w:val="-5"/>
        </w:rPr>
        <w:t xml:space="preserve"> </w:t>
      </w:r>
      <w:r>
        <w:rPr>
          <w:color w:val="151515"/>
        </w:rPr>
        <w:t>Cancer</w:t>
      </w:r>
      <w:r>
        <w:rPr>
          <w:color w:val="151515"/>
          <w:spacing w:val="-5"/>
        </w:rPr>
        <w:t xml:space="preserve"> </w:t>
      </w:r>
      <w:r>
        <w:rPr>
          <w:color w:val="151515"/>
        </w:rPr>
        <w:t>Imaging</w:t>
      </w:r>
      <w:r>
        <w:rPr>
          <w:color w:val="151515"/>
          <w:spacing w:val="-5"/>
        </w:rPr>
        <w:t xml:space="preserve"> </w:t>
      </w:r>
      <w:r>
        <w:rPr>
          <w:color w:val="151515"/>
        </w:rPr>
        <w:t>Archive</w:t>
      </w:r>
      <w:r>
        <w:rPr>
          <w:color w:val="151515"/>
          <w:spacing w:val="-5"/>
        </w:rPr>
        <w:t xml:space="preserve"> </w:t>
      </w:r>
      <w:r>
        <w:rPr>
          <w:color w:val="151515"/>
        </w:rPr>
        <w:t>under</w:t>
      </w:r>
      <w:r>
        <w:rPr>
          <w:color w:val="151515"/>
          <w:spacing w:val="-5"/>
        </w:rPr>
        <w:t xml:space="preserve"> </w:t>
      </w:r>
      <w:r>
        <w:rPr>
          <w:color w:val="151515"/>
        </w:rPr>
        <w:t>a</w:t>
      </w:r>
      <w:r>
        <w:rPr>
          <w:color w:val="151515"/>
          <w:spacing w:val="-5"/>
        </w:rPr>
        <w:t xml:space="preserve"> </w:t>
      </w:r>
      <w:r>
        <w:rPr>
          <w:color w:val="151515"/>
        </w:rPr>
        <w:t>Creative</w:t>
      </w:r>
      <w:r>
        <w:rPr>
          <w:color w:val="151515"/>
          <w:spacing w:val="-4"/>
        </w:rPr>
        <w:t xml:space="preserve"> </w:t>
      </w:r>
      <w:r>
        <w:rPr>
          <w:color w:val="151515"/>
        </w:rPr>
        <w:t>Commons</w:t>
      </w:r>
      <w:r>
        <w:rPr>
          <w:color w:val="151515"/>
          <w:spacing w:val="-4"/>
        </w:rPr>
        <w:t xml:space="preserve"> </w:t>
      </w:r>
      <w:r>
        <w:rPr>
          <w:color w:val="151515"/>
        </w:rPr>
        <w:t>Attribution</w:t>
      </w:r>
      <w:r>
        <w:rPr>
          <w:color w:val="151515"/>
          <w:spacing w:val="-5"/>
        </w:rPr>
        <w:t xml:space="preserve"> </w:t>
      </w:r>
      <w:r>
        <w:rPr>
          <w:color w:val="151515"/>
        </w:rPr>
        <w:t>license [1,2]. The imaging dataset is not redistributed in this repository.</w:t>
      </w:r>
    </w:p>
    <w:p>
      <w:pPr>
        <w:pStyle w:val="Normal"/>
        <w:rPr>
          <w:b/>
        </w:rPr>
      </w:pPr>
      <w:r>
        <w:rPr>
          <w:b/>
        </w:rPr>
      </w:r>
    </w:p>
    <w:p>
      <w:pPr>
        <w:pStyle w:val="Normal"/>
        <w:numPr>
          <w:ilvl w:val="0"/>
          <w:numId w:val="0"/>
        </w:numPr>
        <w:outlineLvl w:val="0"/>
        <w:rPr>
          <w:b/>
        </w:rPr>
      </w:pPr>
      <w:bookmarkStart w:id="30" w:name="Data_availability_Copy_1"/>
      <w:bookmarkEnd w:id="30"/>
      <w:r>
        <w:rPr>
          <w:b/>
        </w:rPr>
        <w:t>Code and materials availability</w:t>
      </w:r>
    </w:p>
    <w:p>
      <w:pPr>
        <w:pStyle w:val="BodyText"/>
        <w:spacing w:lineRule="auto" w:line="302"/>
        <w:ind w:start="31" w:end="101"/>
        <w:rPr/>
      </w:pPr>
      <w:r>
        <w:rPr>
          <w:color w:val="151515"/>
        </w:rPr>
        <w:t>Code, exact execution notebooks, frozen patient partitions, analysis scripts, summary results, figures, and the manuscript are publicly available at https://github.com/atilla-m/mu-glioma-segmentation-benchmark. The complete validated run archives, selected checkpoints, and full prediction volumes are retained by the authors but are not currently distributed through the repository.</w:t>
      </w:r>
    </w:p>
    <w:p/>
    <w:p>
      <w:pPr>
        <w:pStyle w:val="Normal"/>
        <w:numPr>
          <w:ilvl w:val="0"/>
          <w:numId w:val="0"/>
        </w:numPr>
        <w:outlineLvl w:val="1"/>
        <w:rPr>
          <w:color w:val="auto"/>
        </w:rPr>
      </w:pPr>
      <w:r>
        <w:rPr>
          <w:b/>
          <w:color w:val="auto"/>
        </w:rPr>
        <w:t>Declaration</w:t>
      </w:r>
      <w:r>
        <w:rPr>
          <w:b/>
          <w:color w:val="auto"/>
          <w:spacing w:val="12"/>
        </w:rPr>
        <w:t xml:space="preserve"> </w:t>
      </w:r>
      <w:r>
        <w:rPr>
          <w:b/>
          <w:color w:val="auto"/>
        </w:rPr>
        <w:t>of</w:t>
      </w:r>
      <w:r>
        <w:rPr>
          <w:b/>
          <w:color w:val="auto"/>
          <w:spacing w:val="13"/>
        </w:rPr>
        <w:t xml:space="preserve"> </w:t>
      </w:r>
      <w:r>
        <w:rPr>
          <w:b/>
          <w:color w:val="auto"/>
        </w:rPr>
        <w:t>generative</w:t>
      </w:r>
      <w:r>
        <w:rPr>
          <w:b/>
          <w:color w:val="auto"/>
          <w:spacing w:val="12"/>
        </w:rPr>
        <w:t xml:space="preserve"> </w:t>
      </w:r>
      <w:r>
        <w:rPr>
          <w:b/>
          <w:color w:val="auto"/>
        </w:rPr>
        <w:t>AI</w:t>
      </w:r>
      <w:r>
        <w:rPr>
          <w:b/>
          <w:color w:val="auto"/>
          <w:spacing w:val="11"/>
        </w:rPr>
        <w:t xml:space="preserve"> </w:t>
      </w:r>
      <w:r>
        <w:rPr>
          <w:b/>
          <w:color w:val="auto"/>
        </w:rPr>
        <w:t>and</w:t>
      </w:r>
      <w:r>
        <w:rPr>
          <w:b/>
          <w:color w:val="auto"/>
          <w:spacing w:val="13"/>
        </w:rPr>
        <w:t xml:space="preserve"> </w:t>
      </w:r>
      <w:r>
        <w:rPr>
          <w:b/>
          <w:color w:val="auto"/>
        </w:rPr>
        <w:t>AI-assisted</w:t>
      </w:r>
      <w:r>
        <w:rPr>
          <w:b/>
          <w:color w:val="auto"/>
          <w:spacing w:val="12"/>
        </w:rPr>
        <w:t xml:space="preserve"> </w:t>
      </w:r>
      <w:r>
        <w:rPr>
          <w:b/>
          <w:color w:val="auto"/>
          <w:spacing w:val="-2"/>
        </w:rPr>
        <w:t>technologies</w:t>
      </w:r>
    </w:p>
    <w:p>
      <w:pPr>
        <w:pStyle w:val="BodyText"/>
        <w:spacing w:lineRule="auto" w:line="302" w:before="99" w:after="0"/>
        <w:ind w:start="31" w:end="96"/>
        <w:rPr/>
      </w:pPr>
      <w:r>
        <w:rPr>
          <w:color w:val="151515"/>
        </w:rPr>
        <w:t xml:space="preserve">OpenAI Codex assisted with execution-notebook adaptation, code development and validation, implementation of the statistical analysis, figure generation, and manuscript drafting and language editing. The authors reviewed and verified the resulting code, analyses, figures, references, and text and take full responsibility for the content of this </w:t>
      </w:r>
      <w:r>
        <w:rPr>
          <w:color w:val="151515"/>
          <w:spacing w:val="-2"/>
        </w:rPr>
        <w:t>work.</w:t>
      </w:r>
    </w:p>
    <w:p>
      <w:pPr>
        <w:pStyle w:val="BodyText"/>
        <w:spacing w:before="228" w:after="0"/>
        <w:ind w:start="0"/>
        <w:jc w:val="start"/>
        <w:rPr/>
      </w:pPr>
      <w:r>
        <w:rPr/>
      </w:r>
    </w:p>
    <w:p>
      <w:pPr>
        <w:pStyle w:val="Normal"/>
        <w:numPr>
          <w:ilvl w:val="0"/>
          <w:numId w:val="0"/>
        </w:numPr>
        <w:outlineLvl w:val="0"/>
        <w:rPr>
          <w:color w:val="auto"/>
          <w:sz w:val="28"/>
          <w:szCs w:val="28"/>
        </w:rPr>
      </w:pPr>
      <w:r>
        <w:rPr>
          <w:b/>
          <w:color w:val="auto"/>
          <w:spacing w:val="-2"/>
          <w:sz w:val="28"/>
          <w:szCs w:val="28"/>
        </w:rPr>
        <w:t>References</w:t>
      </w:r>
    </w:p>
    <w:p>
      <w:pPr>
        <w:pStyle w:val="ListParagraph"/>
        <w:numPr>
          <w:ilvl w:val="0"/>
          <w:numId w:val="1"/>
        </w:numPr>
        <w:tabs>
          <w:tab w:val="clear" w:pos="720"/>
          <w:tab w:val="left" w:pos="740" w:leader="none"/>
        </w:tabs>
        <w:spacing w:lineRule="auto" w:line="276" w:before="185" w:after="0"/>
        <w:ind w:hanging="283" w:start="740" w:end="519"/>
        <w:rPr>
          <w:color w:val="151515"/>
          <w:sz w:val="21"/>
        </w:rPr>
      </w:pPr>
      <w:r>
        <w:rPr>
          <w:color w:val="151515"/>
          <w:sz w:val="18"/>
        </w:rPr>
        <w:t xml:space="preserve">Mahmoud E, Gass J, Dhemesh Y, et al. MU-Glioma Post: a comprehensive dataset of automated MR multi-sequence segmentation and clinical features. </w:t>
      </w:r>
      <w:r>
        <w:rPr>
          <w:i/>
          <w:color w:val="151515"/>
          <w:sz w:val="18"/>
        </w:rPr>
        <w:t>Scientific Data</w:t>
      </w:r>
      <w:r>
        <w:rPr>
          <w:color w:val="151515"/>
          <w:sz w:val="18"/>
        </w:rPr>
        <w:t>. 2025;12:1847. doi:10.1038/s41597-025-06011-7.</w:t>
      </w:r>
    </w:p>
    <w:p>
      <w:pPr>
        <w:pStyle w:val="ListParagraph"/>
        <w:numPr>
          <w:ilvl w:val="0"/>
          <w:numId w:val="1"/>
        </w:numPr>
        <w:tabs>
          <w:tab w:val="clear" w:pos="720"/>
          <w:tab w:val="left" w:pos="740" w:leader="none"/>
        </w:tabs>
        <w:spacing w:lineRule="auto" w:line="281" w:before="90" w:after="0"/>
        <w:ind w:hanging="283" w:start="740" w:end="353"/>
        <w:rPr>
          <w:color w:val="151515"/>
          <w:sz w:val="18"/>
        </w:rPr>
      </w:pPr>
      <w:r>
        <w:rPr>
          <w:color w:val="151515"/>
          <w:sz w:val="18"/>
        </w:rPr>
        <w:t>Yaseen D, Garrett F, Gass J, et al. University of Missouri Post-operative Glioma Dataset (MU-Glioma-Post), Version 1 [data set]. The Cancer Imaging Archive. 2025. doi:10.7937/7K9K-3C83.</w:t>
      </w:r>
    </w:p>
    <w:p>
      <w:pPr>
        <w:pStyle w:val="ListParagraph"/>
        <w:numPr>
          <w:ilvl w:val="0"/>
          <w:numId w:val="1"/>
        </w:numPr>
        <w:tabs>
          <w:tab w:val="clear" w:pos="720"/>
          <w:tab w:val="left" w:pos="740" w:leader="none"/>
        </w:tabs>
        <w:spacing w:lineRule="auto" w:line="276" w:before="86" w:after="0"/>
        <w:ind w:hanging="283" w:start="740" w:end="143"/>
        <w:rPr>
          <w:color w:val="151515"/>
          <w:sz w:val="21"/>
        </w:rPr>
      </w:pPr>
      <w:r>
        <w:rPr>
          <w:color w:val="151515"/>
          <w:sz w:val="18"/>
        </w:rPr>
        <w:t xml:space="preserve">Ronneberger O, Fischer P, Brox T. U-Net: convolutional networks for biomedical image segmentation. In: </w:t>
      </w:r>
      <w:r>
        <w:rPr>
          <w:i/>
          <w:color w:val="151515"/>
          <w:sz w:val="18"/>
        </w:rPr>
        <w:t>MICCAI 2015</w:t>
      </w:r>
      <w:r>
        <w:rPr>
          <w:color w:val="151515"/>
          <w:sz w:val="18"/>
        </w:rPr>
        <w:t>. 2015:234–241. doi:10.1007/978-3-319-24574-4_28.</w:t>
      </w:r>
    </w:p>
    <w:p>
      <w:pPr>
        <w:pStyle w:val="ListParagraph"/>
        <w:numPr>
          <w:ilvl w:val="0"/>
          <w:numId w:val="1"/>
        </w:numPr>
        <w:tabs>
          <w:tab w:val="clear" w:pos="720"/>
          <w:tab w:val="left" w:pos="740" w:leader="none"/>
        </w:tabs>
        <w:spacing w:lineRule="auto" w:line="276" w:before="89" w:after="0"/>
        <w:ind w:hanging="283" w:start="740" w:end="727"/>
        <w:rPr>
          <w:color w:val="151515"/>
          <w:sz w:val="21"/>
        </w:rPr>
      </w:pPr>
      <w:r>
        <w:rPr>
          <w:color w:val="151515"/>
          <w:sz w:val="18"/>
        </w:rPr>
        <w:t xml:space="preserve">Milletari F, Navab N, Ahmadi SA. V-Net: fully convolutional neural networks for volumetric medical image segmentation. In: </w:t>
      </w:r>
      <w:r>
        <w:rPr>
          <w:i/>
          <w:color w:val="151515"/>
          <w:sz w:val="18"/>
        </w:rPr>
        <w:t>2016 Fourth International Conference on 3D Vision</w:t>
      </w:r>
      <w:r>
        <w:rPr>
          <w:color w:val="151515"/>
          <w:sz w:val="18"/>
        </w:rPr>
        <w:t>. 2016:565–571. doi:10.1109/3DV.2016.79.</w:t>
      </w:r>
    </w:p>
    <w:p>
      <w:pPr>
        <w:pStyle w:val="ListParagraph"/>
        <w:numPr>
          <w:ilvl w:val="0"/>
          <w:numId w:val="1"/>
        </w:numPr>
        <w:tabs>
          <w:tab w:val="clear" w:pos="720"/>
          <w:tab w:val="left" w:pos="740" w:leader="none"/>
        </w:tabs>
        <w:spacing w:lineRule="auto" w:line="276" w:before="90" w:after="0"/>
        <w:ind w:hanging="283" w:start="740" w:end="510"/>
        <w:rPr>
          <w:color w:val="151515"/>
          <w:sz w:val="21"/>
        </w:rPr>
      </w:pPr>
      <w:r>
        <w:rPr>
          <w:color w:val="151515"/>
          <w:sz w:val="18"/>
        </w:rPr>
        <w:t xml:space="preserve">He K, Zhang X, Ren S, Sun J. Deep residual learning for image recognition. In: </w:t>
      </w:r>
      <w:r>
        <w:rPr>
          <w:i/>
          <w:color w:val="151515"/>
          <w:sz w:val="18"/>
        </w:rPr>
        <w:t>2016 IEEE Conference on Computer Vision and Pattern Recognition</w:t>
      </w:r>
      <w:r>
        <w:rPr>
          <w:color w:val="151515"/>
          <w:sz w:val="18"/>
        </w:rPr>
        <w:t>. 2016:770–778. doi:10.1109/CVPR.2016.90.</w:t>
      </w:r>
    </w:p>
    <w:p>
      <w:pPr>
        <w:pStyle w:val="ListParagraph"/>
        <w:numPr>
          <w:ilvl w:val="0"/>
          <w:numId w:val="1"/>
        </w:numPr>
        <w:tabs>
          <w:tab w:val="clear" w:pos="720"/>
          <w:tab w:val="left" w:pos="740" w:leader="none"/>
        </w:tabs>
        <w:spacing w:lineRule="auto" w:line="278" w:before="89" w:after="0"/>
        <w:ind w:hanging="283" w:start="740" w:end="466"/>
        <w:rPr>
          <w:color w:val="151515"/>
          <w:sz w:val="21"/>
        </w:rPr>
      </w:pPr>
      <w:r>
        <w:rPr>
          <w:color w:val="151515"/>
          <w:sz w:val="18"/>
        </w:rPr>
        <w:t xml:space="preserve">Zhou Z, Rahman Siddiquee MM, Tajbakhsh N, Liang J. UNet++: a nested U-Net architecture for medical image segmentation. In: </w:t>
      </w:r>
      <w:r>
        <w:rPr>
          <w:i/>
          <w:color w:val="151515"/>
          <w:sz w:val="18"/>
        </w:rPr>
        <w:t>Deep Learning in Medical Image Analysis and Multimodal Learning for Clinical Decision Support</w:t>
      </w:r>
      <w:r>
        <w:rPr>
          <w:color w:val="151515"/>
          <w:sz w:val="18"/>
        </w:rPr>
        <w:t>. 2018:3–11. doi:10.1007/978-3-030-00889-5_1.</w:t>
      </w:r>
    </w:p>
    <w:p>
      <w:pPr>
        <w:pStyle w:val="ListParagraph"/>
        <w:numPr>
          <w:ilvl w:val="0"/>
          <w:numId w:val="1"/>
        </w:numPr>
        <w:tabs>
          <w:tab w:val="clear" w:pos="720"/>
          <w:tab w:val="left" w:pos="740" w:leader="none"/>
        </w:tabs>
        <w:spacing w:lineRule="auto" w:line="276" w:before="88" w:after="0"/>
        <w:ind w:hanging="283" w:start="740" w:end="150"/>
        <w:rPr>
          <w:color w:val="151515"/>
          <w:sz w:val="21"/>
        </w:rPr>
      </w:pPr>
      <w:r>
        <w:rPr>
          <w:color w:val="151515"/>
          <w:sz w:val="18"/>
        </w:rPr>
        <w:t xml:space="preserve">Isensee F, Jaeger PF, Kohl SAA, Petersen J, Maier-Hein KH. nnU-Net: a self-configuring method for deep learning-based biomedical image segmentation. </w:t>
      </w:r>
      <w:r>
        <w:rPr>
          <w:i/>
          <w:color w:val="151515"/>
          <w:sz w:val="18"/>
        </w:rPr>
        <w:t>Nature Methods</w:t>
      </w:r>
      <w:r>
        <w:rPr>
          <w:color w:val="151515"/>
          <w:sz w:val="18"/>
        </w:rPr>
        <w:t>. 2021;18:203–211. doi:10.1038/s41592-020-01008-z.</w:t>
      </w:r>
    </w:p>
    <w:p>
      <w:pPr>
        <w:pStyle w:val="ListParagraph"/>
        <w:numPr>
          <w:ilvl w:val="0"/>
          <w:numId w:val="1"/>
        </w:numPr>
        <w:tabs>
          <w:tab w:val="clear" w:pos="720"/>
          <w:tab w:val="left" w:pos="740" w:leader="none"/>
        </w:tabs>
        <w:spacing w:lineRule="auto" w:line="276" w:before="89" w:after="0"/>
        <w:ind w:hanging="283" w:start="740" w:end="671"/>
        <w:rPr>
          <w:color w:val="151515"/>
          <w:sz w:val="21"/>
        </w:rPr>
      </w:pPr>
      <w:r>
        <w:rPr>
          <w:color w:val="151515"/>
          <w:sz w:val="18"/>
        </w:rPr>
        <w:t xml:space="preserve">Maier-Hein L, Reinke A, Godau P, et al. Metrics reloaded: recommendations for image analysis validation. </w:t>
      </w:r>
      <w:r>
        <w:rPr>
          <w:i/>
          <w:color w:val="151515"/>
          <w:sz w:val="18"/>
        </w:rPr>
        <w:t>Nature Methods</w:t>
      </w:r>
      <w:r>
        <w:rPr>
          <w:color w:val="151515"/>
          <w:sz w:val="18"/>
        </w:rPr>
        <w:t>. 2024;21:195–212. doi:10.1038/s41592-023-02151-z.</w:t>
      </w:r>
    </w:p>
    <w:p>
      <w:pPr>
        <w:pStyle w:val="ListParagraph"/>
        <w:numPr>
          <w:ilvl w:val="0"/>
          <w:numId w:val="1"/>
        </w:numPr>
        <w:tabs>
          <w:tab w:val="clear" w:pos="720"/>
          <w:tab w:val="left" w:pos="740" w:leader="none"/>
        </w:tabs>
        <w:spacing w:before="89" w:after="0"/>
        <w:rPr>
          <w:color w:val="151515"/>
          <w:sz w:val="21"/>
        </w:rPr>
      </w:pPr>
      <w:r>
        <w:rPr>
          <w:color w:val="151515"/>
          <w:sz w:val="18"/>
        </w:rPr>
        <w:t>Tejani</w:t>
      </w:r>
      <w:r>
        <w:rPr>
          <w:color w:val="151515"/>
          <w:spacing w:val="2"/>
          <w:sz w:val="18"/>
        </w:rPr>
        <w:t xml:space="preserve"> </w:t>
      </w:r>
      <w:r>
        <w:rPr>
          <w:color w:val="151515"/>
          <w:sz w:val="18"/>
        </w:rPr>
        <w:t>AS,</w:t>
      </w:r>
      <w:r>
        <w:rPr>
          <w:color w:val="151515"/>
          <w:spacing w:val="2"/>
          <w:sz w:val="18"/>
        </w:rPr>
        <w:t xml:space="preserve"> </w:t>
      </w:r>
      <w:r>
        <w:rPr>
          <w:color w:val="151515"/>
          <w:sz w:val="18"/>
        </w:rPr>
        <w:t>Klontzas</w:t>
      </w:r>
      <w:r>
        <w:rPr>
          <w:color w:val="151515"/>
          <w:spacing w:val="3"/>
          <w:sz w:val="18"/>
        </w:rPr>
        <w:t xml:space="preserve"> </w:t>
      </w:r>
      <w:r>
        <w:rPr>
          <w:color w:val="151515"/>
          <w:sz w:val="18"/>
        </w:rPr>
        <w:t>ME,</w:t>
      </w:r>
      <w:r>
        <w:rPr>
          <w:color w:val="151515"/>
          <w:spacing w:val="2"/>
          <w:sz w:val="18"/>
        </w:rPr>
        <w:t xml:space="preserve"> </w:t>
      </w:r>
      <w:r>
        <w:rPr>
          <w:color w:val="151515"/>
          <w:sz w:val="18"/>
        </w:rPr>
        <w:t>Gatti</w:t>
      </w:r>
      <w:r>
        <w:rPr>
          <w:color w:val="151515"/>
          <w:spacing w:val="3"/>
          <w:sz w:val="18"/>
        </w:rPr>
        <w:t xml:space="preserve"> </w:t>
      </w:r>
      <w:r>
        <w:rPr>
          <w:color w:val="151515"/>
          <w:sz w:val="18"/>
        </w:rPr>
        <w:t>AA,</w:t>
      </w:r>
      <w:r>
        <w:rPr>
          <w:color w:val="151515"/>
          <w:spacing w:val="2"/>
          <w:sz w:val="18"/>
        </w:rPr>
        <w:t xml:space="preserve"> </w:t>
      </w:r>
      <w:r>
        <w:rPr>
          <w:color w:val="151515"/>
          <w:sz w:val="18"/>
        </w:rPr>
        <w:t>et</w:t>
      </w:r>
      <w:r>
        <w:rPr>
          <w:color w:val="151515"/>
          <w:spacing w:val="3"/>
          <w:sz w:val="18"/>
        </w:rPr>
        <w:t xml:space="preserve"> </w:t>
      </w:r>
      <w:r>
        <w:rPr>
          <w:color w:val="151515"/>
          <w:sz w:val="18"/>
        </w:rPr>
        <w:t>al.</w:t>
      </w:r>
      <w:r>
        <w:rPr>
          <w:color w:val="151515"/>
          <w:spacing w:val="2"/>
          <w:sz w:val="18"/>
        </w:rPr>
        <w:t xml:space="preserve"> </w:t>
      </w:r>
      <w:r>
        <w:rPr>
          <w:color w:val="151515"/>
          <w:sz w:val="18"/>
        </w:rPr>
        <w:t>Checklist</w:t>
      </w:r>
      <w:r>
        <w:rPr>
          <w:color w:val="151515"/>
          <w:spacing w:val="3"/>
          <w:sz w:val="18"/>
        </w:rPr>
        <w:t xml:space="preserve"> </w:t>
      </w:r>
      <w:r>
        <w:rPr>
          <w:color w:val="151515"/>
          <w:sz w:val="18"/>
        </w:rPr>
        <w:t>for</w:t>
      </w:r>
      <w:r>
        <w:rPr>
          <w:color w:val="151515"/>
          <w:spacing w:val="2"/>
          <w:sz w:val="18"/>
        </w:rPr>
        <w:t xml:space="preserve"> </w:t>
      </w:r>
      <w:r>
        <w:rPr>
          <w:color w:val="151515"/>
          <w:sz w:val="18"/>
        </w:rPr>
        <w:t>Artificial</w:t>
      </w:r>
      <w:r>
        <w:rPr>
          <w:color w:val="151515"/>
          <w:spacing w:val="3"/>
          <w:sz w:val="18"/>
        </w:rPr>
        <w:t xml:space="preserve"> </w:t>
      </w:r>
      <w:r>
        <w:rPr>
          <w:color w:val="151515"/>
          <w:sz w:val="18"/>
        </w:rPr>
        <w:t>Intelligence</w:t>
      </w:r>
      <w:r>
        <w:rPr>
          <w:color w:val="151515"/>
          <w:spacing w:val="1"/>
          <w:sz w:val="18"/>
        </w:rPr>
        <w:t xml:space="preserve"> </w:t>
      </w:r>
      <w:r>
        <w:rPr>
          <w:color w:val="151515"/>
          <w:sz w:val="18"/>
        </w:rPr>
        <w:t>in</w:t>
      </w:r>
      <w:r>
        <w:rPr>
          <w:color w:val="151515"/>
          <w:spacing w:val="2"/>
          <w:sz w:val="18"/>
        </w:rPr>
        <w:t xml:space="preserve"> </w:t>
      </w:r>
      <w:r>
        <w:rPr>
          <w:color w:val="151515"/>
          <w:sz w:val="18"/>
        </w:rPr>
        <w:t>Medical</w:t>
      </w:r>
      <w:r>
        <w:rPr>
          <w:color w:val="151515"/>
          <w:spacing w:val="2"/>
          <w:sz w:val="18"/>
        </w:rPr>
        <w:t xml:space="preserve"> </w:t>
      </w:r>
      <w:r>
        <w:rPr>
          <w:color w:val="151515"/>
          <w:sz w:val="18"/>
        </w:rPr>
        <w:t>Imaging</w:t>
      </w:r>
      <w:r>
        <w:rPr>
          <w:color w:val="151515"/>
          <w:spacing w:val="2"/>
          <w:sz w:val="18"/>
        </w:rPr>
        <w:t xml:space="preserve"> </w:t>
      </w:r>
      <w:r>
        <w:rPr>
          <w:color w:val="151515"/>
          <w:sz w:val="18"/>
        </w:rPr>
        <w:t>(CLAIM):</w:t>
      </w:r>
      <w:r>
        <w:rPr>
          <w:color w:val="151515"/>
          <w:spacing w:val="2"/>
          <w:sz w:val="18"/>
        </w:rPr>
        <w:t xml:space="preserve"> </w:t>
      </w:r>
      <w:r>
        <w:rPr>
          <w:color w:val="151515"/>
          <w:sz w:val="18"/>
        </w:rPr>
        <w:t>2024</w:t>
      </w:r>
      <w:r>
        <w:rPr>
          <w:color w:val="151515"/>
          <w:spacing w:val="1"/>
          <w:sz w:val="18"/>
        </w:rPr>
        <w:t xml:space="preserve"> </w:t>
      </w:r>
      <w:r>
        <w:rPr>
          <w:color w:val="151515"/>
          <w:spacing w:val="-2"/>
          <w:sz w:val="18"/>
        </w:rPr>
        <w:t>update.</w:t>
      </w:r>
    </w:p>
    <w:p>
      <w:pPr>
        <w:pStyle w:val="Normal"/>
        <w:spacing w:before="36" w:after="0"/>
        <w:ind w:start="740"/>
        <w:rPr>
          <w:sz w:val="18"/>
        </w:rPr>
      </w:pPr>
      <w:r>
        <w:rPr>
          <w:i/>
          <w:color w:val="151515"/>
          <w:sz w:val="18"/>
        </w:rPr>
        <w:t>Radiology:</w:t>
      </w:r>
      <w:r>
        <w:rPr>
          <w:i/>
          <w:color w:val="151515"/>
          <w:spacing w:val="4"/>
          <w:sz w:val="18"/>
        </w:rPr>
        <w:t xml:space="preserve"> </w:t>
      </w:r>
      <w:r>
        <w:rPr>
          <w:i/>
          <w:color w:val="151515"/>
          <w:sz w:val="18"/>
        </w:rPr>
        <w:t>Artificial</w:t>
      </w:r>
      <w:r>
        <w:rPr>
          <w:i/>
          <w:color w:val="151515"/>
          <w:spacing w:val="4"/>
          <w:sz w:val="18"/>
        </w:rPr>
        <w:t xml:space="preserve"> </w:t>
      </w:r>
      <w:r>
        <w:rPr>
          <w:i/>
          <w:color w:val="151515"/>
          <w:sz w:val="18"/>
        </w:rPr>
        <w:t>Intelligence</w:t>
      </w:r>
      <w:r>
        <w:rPr>
          <w:color w:val="151515"/>
          <w:sz w:val="18"/>
        </w:rPr>
        <w:t>.</w:t>
      </w:r>
      <w:r>
        <w:rPr>
          <w:color w:val="151515"/>
          <w:spacing w:val="4"/>
          <w:sz w:val="18"/>
        </w:rPr>
        <w:t xml:space="preserve"> </w:t>
      </w:r>
      <w:r>
        <w:rPr>
          <w:color w:val="151515"/>
          <w:sz w:val="18"/>
        </w:rPr>
        <w:t>2024;6(4):e240300.</w:t>
      </w:r>
      <w:r>
        <w:rPr>
          <w:color w:val="151515"/>
          <w:spacing w:val="4"/>
          <w:sz w:val="18"/>
        </w:rPr>
        <w:t xml:space="preserve"> </w:t>
      </w:r>
      <w:r>
        <w:rPr>
          <w:color w:val="151515"/>
          <w:spacing w:val="-2"/>
          <w:sz w:val="18"/>
        </w:rPr>
        <w:t>doi:10.1148/ryai.240300.</w:t>
      </w:r>
    </w:p>
    <w:p>
      <w:pPr>
        <w:pStyle w:val="ListParagraph"/>
        <w:numPr>
          <w:ilvl w:val="0"/>
          <w:numId w:val="1"/>
        </w:numPr>
        <w:tabs>
          <w:tab w:val="clear" w:pos="720"/>
          <w:tab w:val="left" w:pos="740" w:leader="none"/>
        </w:tabs>
        <w:spacing w:lineRule="auto" w:line="278" w:before="121" w:after="0"/>
        <w:ind w:hanging="283" w:start="740" w:end="112"/>
        <w:rPr>
          <w:color w:val="151515"/>
          <w:sz w:val="19"/>
        </w:rPr>
      </w:pPr>
      <w:r>
        <w:rPr>
          <w:color w:val="151515"/>
          <w:sz w:val="18"/>
        </w:rPr>
        <w:t xml:space="preserve">Rudie JD, Calabrese E, Saluja R, et al. Longitudinal assessment of posttreatment diffuse glioma tissue volumes with three-dimensional convolutional neural networks. </w:t>
      </w:r>
      <w:r>
        <w:rPr>
          <w:i/>
          <w:color w:val="151515"/>
          <w:sz w:val="18"/>
        </w:rPr>
        <w:t>Radiology: Artificial Intelligence</w:t>
      </w:r>
      <w:r>
        <w:rPr>
          <w:color w:val="151515"/>
          <w:sz w:val="18"/>
        </w:rPr>
        <w:t>. 2022;4(5):e210243.</w:t>
      </w:r>
      <w:r>
        <w:rPr>
          <w:color w:val="151515"/>
          <w:spacing w:val="80"/>
          <w:sz w:val="18"/>
        </w:rPr>
        <w:t xml:space="preserve"> </w:t>
      </w:r>
      <w:r>
        <w:rPr>
          <w:color w:val="151515"/>
          <w:spacing w:val="-2"/>
          <w:sz w:val="18"/>
        </w:rPr>
        <w:t>doi:10.1148/ryai.210243.</w:t>
      </w:r>
    </w:p>
    <w:p>
      <w:pPr>
        <w:pStyle w:val="ListParagraph"/>
        <w:numPr>
          <w:ilvl w:val="0"/>
          <w:numId w:val="1"/>
        </w:numPr>
        <w:tabs>
          <w:tab w:val="clear" w:pos="720"/>
          <w:tab w:val="left" w:pos="740" w:leader="none"/>
        </w:tabs>
        <w:spacing w:lineRule="auto" w:line="276" w:before="87" w:after="0"/>
        <w:ind w:hanging="283" w:start="740" w:end="408"/>
        <w:rPr>
          <w:color w:val="151515"/>
          <w:sz w:val="19"/>
        </w:rPr>
      </w:pPr>
      <w:r>
        <w:rPr>
          <w:color w:val="151515"/>
          <w:sz w:val="18"/>
        </w:rPr>
        <w:t xml:space="preserve">Helland RH, Ferles A, Pedersen A, et al. Segmentation of glioblastomas in early post-operative multi-modal MRI with deep neural networks. </w:t>
      </w:r>
      <w:r>
        <w:rPr>
          <w:i/>
          <w:color w:val="151515"/>
          <w:sz w:val="18"/>
        </w:rPr>
        <w:t>Scientific Reports</w:t>
      </w:r>
      <w:r>
        <w:rPr>
          <w:color w:val="151515"/>
          <w:sz w:val="18"/>
        </w:rPr>
        <w:t>. 2023;13:18897. doi:10.1038/s41598-023-45456-x.</w:t>
      </w:r>
    </w:p>
    <w:p>
      <w:pPr>
        <w:pStyle w:val="ListParagraph"/>
        <w:numPr>
          <w:ilvl w:val="0"/>
          <w:numId w:val="1"/>
        </w:numPr>
        <w:tabs>
          <w:tab w:val="clear" w:pos="720"/>
          <w:tab w:val="left" w:pos="740" w:leader="none"/>
        </w:tabs>
        <w:spacing w:lineRule="auto" w:line="276" w:before="90" w:after="0"/>
        <w:ind w:hanging="283" w:start="740" w:end="145"/>
        <w:rPr>
          <w:color w:val="151515"/>
          <w:sz w:val="19"/>
        </w:rPr>
      </w:pPr>
      <w:r>
        <w:rPr>
          <w:color w:val="151515"/>
          <w:sz w:val="18"/>
        </w:rPr>
        <w:t xml:space="preserve">Fields BKK, Calabrese E, Mongan J, et al. The University of California San Francisco Adult Longitudinal Post-Treatment Diffuse Glioma MRI Dataset. </w:t>
      </w:r>
      <w:r>
        <w:rPr>
          <w:i/>
          <w:color w:val="151515"/>
          <w:sz w:val="18"/>
        </w:rPr>
        <w:t>Radiology: Artificial Intelligence</w:t>
      </w:r>
      <w:r>
        <w:rPr>
          <w:color w:val="151515"/>
          <w:sz w:val="18"/>
        </w:rPr>
        <w:t>. 2024;6(4):e230182. doi:10.1148/ryai.230182.</w:t>
      </w:r>
    </w:p>
    <w:sectPr>
      <w:headerReference w:type="even" ns5:id="rId32"/>
      <w:headerReference w:type="default" ns5:id="rId33"/>
      <w:headerReference w:type="first" ns5:id="rId34"/>
      <w:footerReference w:type="even" ns5:id="rId35"/>
      <w:footerReference w:type="default" ns5:id="rId36"/>
      <w:footerReference w:type="first" ns5:id="rId37"/>
      <w:type w:val="nextPage"/>
      <w:pgSz w:w="11906" w:h="16838"/>
      <w:pgMar w:left="1133" w:right="992" w:gutter="0" w:header="1600" w:top="1780" w:footer="1056" w:bottom="12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MT">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1"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5" name="Textbox 2"/>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10</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10</w:t>
                    </w:r>
                    <w:r>
                      <w:rPr>
                        <w:rFonts w:ascii="Arial MT" w:hAnsi="Arial MT"/>
                        <w:color w:val="58626D"/>
                        <w:spacing w:val="-5"/>
                        <w:sz w:val="16"/>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1"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6" name="Textbox 2"/>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10</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10</w:t>
                    </w:r>
                    <w:r>
                      <w:rPr>
                        <w:rFonts w:ascii="Arial MT" w:hAnsi="Arial MT"/>
                        <w:color w:val="58626D"/>
                        <w:spacing w:val="-5"/>
                        <w:sz w:val="16"/>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6"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10" name="Textbox 4"/>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11</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11</w:t>
                    </w:r>
                    <w:r>
                      <w:rPr>
                        <w:rFonts w:ascii="Arial MT" w:hAnsi="Arial MT"/>
                        <w:color w:val="58626D"/>
                        <w:spacing w:val="-5"/>
                        <w:sz w:val="16"/>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6"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11" name="Textbox 4"/>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11</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11</w:t>
                    </w:r>
                    <w:r>
                      <w:rPr>
                        <w:rFonts w:ascii="Arial MT" w:hAnsi="Arial MT"/>
                        <w:color w:val="58626D"/>
                        <w:spacing w:val="-5"/>
                        <w:sz w:val="16"/>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50"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15" name="Textbox 6"/>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12</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12</w:t>
                    </w:r>
                    <w:r>
                      <w:rPr>
                        <w:rFonts w:ascii="Arial MT" w:hAnsi="Arial MT"/>
                        <w:color w:val="58626D"/>
                        <w:spacing w:val="-5"/>
                        <w:sz w:val="16"/>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50"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16" name="Textbox 6"/>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12</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12</w:t>
                    </w:r>
                    <w:r>
                      <w:rPr>
                        <w:rFonts w:ascii="Arial MT" w:hAnsi="Arial MT"/>
                        <w:color w:val="58626D"/>
                        <w:spacing w:val="-5"/>
                        <w:sz w:val="16"/>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54"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20" name="Textbox 8"/>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13</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13</w:t>
                    </w:r>
                    <w:r>
                      <w:rPr>
                        <w:rFonts w:ascii="Arial MT" w:hAnsi="Arial MT"/>
                        <w:color w:val="58626D"/>
                        <w:spacing w:val="-5"/>
                        <w:sz w:val="16"/>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54"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21" name="Textbox 8"/>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13</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13</w:t>
                    </w:r>
                    <w:r>
                      <w:rPr>
                        <w:rFonts w:ascii="Arial MT" w:hAnsi="Arial MT"/>
                        <w:color w:val="58626D"/>
                        <w:spacing w:val="-5"/>
                        <w:sz w:val="16"/>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74"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25" name="Textbox 10"/>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18</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18</w:t>
                    </w:r>
                    <w:r>
                      <w:rPr>
                        <w:rFonts w:ascii="Arial MT" w:hAnsi="Arial MT"/>
                        <w:color w:val="58626D"/>
                        <w:spacing w:val="-5"/>
                        <w:sz w:val="16"/>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74"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26" name="Textbox 10"/>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18</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18</w:t>
                    </w:r>
                    <w:r>
                      <w:rPr>
                        <w:rFonts w:ascii="Arial MT" w:hAnsi="Arial MT"/>
                        <w:color w:val="58626D"/>
                        <w:spacing w:val="-5"/>
                        <w:sz w:val="16"/>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22"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3" name="Textbox 1"/>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22"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4" name="Textbox 1"/>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4"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8" name="Textbox 3"/>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4"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9" name="Textbox 3"/>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8"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13" name="Textbox 5"/>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8"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14" name="Textbox 5"/>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52"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18" name="Textbox 7"/>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52"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19" name="Textbox 7"/>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64"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23" name="Textbox 9"/>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64"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24" name="Textbox 9"/>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40" w:hanging="283"/>
      </w:pPr>
      <w:rPr>
        <w:spacing w:val="0"/>
        <w:w w:val="99"/>
        <w:lang w:val="en-US" w:eastAsia="en-US" w:bidi="ar-SA"/>
      </w:rPr>
    </w:lvl>
    <w:lvl w:ilvl="1">
      <w:start w:val="0"/>
      <w:numFmt w:val="bullet"/>
      <w:lvlText w:val=""/>
      <w:lvlJc w:val="start"/>
      <w:pPr>
        <w:tabs>
          <w:tab w:val="num" w:pos="0"/>
        </w:tabs>
        <w:ind w:start="1644" w:hanging="283"/>
      </w:pPr>
      <w:rPr>
        <w:rFonts w:ascii="Symbol" w:hAnsi="Symbol" w:cs="Symbol" w:hint="default"/>
        <w:lang w:val="en-US" w:eastAsia="en-US" w:bidi="ar-SA"/>
      </w:rPr>
    </w:lvl>
    <w:lvl w:ilvl="2">
      <w:start w:val="0"/>
      <w:numFmt w:val="bullet"/>
      <w:lvlText w:val=""/>
      <w:lvlJc w:val="start"/>
      <w:pPr>
        <w:tabs>
          <w:tab w:val="num" w:pos="0"/>
        </w:tabs>
        <w:ind w:start="2548" w:hanging="283"/>
      </w:pPr>
      <w:rPr>
        <w:rFonts w:ascii="Symbol" w:hAnsi="Symbol" w:cs="Symbol" w:hint="default"/>
        <w:lang w:val="en-US" w:eastAsia="en-US" w:bidi="ar-SA"/>
      </w:rPr>
    </w:lvl>
    <w:lvl w:ilvl="3">
      <w:start w:val="0"/>
      <w:numFmt w:val="bullet"/>
      <w:lvlText w:val=""/>
      <w:lvlJc w:val="start"/>
      <w:pPr>
        <w:tabs>
          <w:tab w:val="num" w:pos="0"/>
        </w:tabs>
        <w:ind w:start="3452" w:hanging="283"/>
      </w:pPr>
      <w:rPr>
        <w:rFonts w:ascii="Symbol" w:hAnsi="Symbol" w:cs="Symbol" w:hint="default"/>
        <w:lang w:val="en-US" w:eastAsia="en-US" w:bidi="ar-SA"/>
      </w:rPr>
    </w:lvl>
    <w:lvl w:ilvl="4">
      <w:start w:val="0"/>
      <w:numFmt w:val="bullet"/>
      <w:lvlText w:val=""/>
      <w:lvlJc w:val="start"/>
      <w:pPr>
        <w:tabs>
          <w:tab w:val="num" w:pos="0"/>
        </w:tabs>
        <w:ind w:start="4356" w:hanging="283"/>
      </w:pPr>
      <w:rPr>
        <w:rFonts w:ascii="Symbol" w:hAnsi="Symbol" w:cs="Symbol" w:hint="default"/>
        <w:lang w:val="en-US" w:eastAsia="en-US" w:bidi="ar-SA"/>
      </w:rPr>
    </w:lvl>
    <w:lvl w:ilvl="5">
      <w:start w:val="0"/>
      <w:numFmt w:val="bullet"/>
      <w:lvlText w:val=""/>
      <w:lvlJc w:val="start"/>
      <w:pPr>
        <w:tabs>
          <w:tab w:val="num" w:pos="0"/>
        </w:tabs>
        <w:ind w:start="5260" w:hanging="283"/>
      </w:pPr>
      <w:rPr>
        <w:rFonts w:ascii="Symbol" w:hAnsi="Symbol" w:cs="Symbol" w:hint="default"/>
        <w:lang w:val="en-US" w:eastAsia="en-US" w:bidi="ar-SA"/>
      </w:rPr>
    </w:lvl>
    <w:lvl w:ilvl="6">
      <w:start w:val="0"/>
      <w:numFmt w:val="bullet"/>
      <w:lvlText w:val=""/>
      <w:lvlJc w:val="start"/>
      <w:pPr>
        <w:tabs>
          <w:tab w:val="num" w:pos="0"/>
        </w:tabs>
        <w:ind w:start="6164" w:hanging="283"/>
      </w:pPr>
      <w:rPr>
        <w:rFonts w:ascii="Symbol" w:hAnsi="Symbol" w:cs="Symbol" w:hint="default"/>
        <w:lang w:val="en-US" w:eastAsia="en-US" w:bidi="ar-SA"/>
      </w:rPr>
    </w:lvl>
    <w:lvl w:ilvl="7">
      <w:start w:val="0"/>
      <w:numFmt w:val="bullet"/>
      <w:lvlText w:val=""/>
      <w:lvlJc w:val="start"/>
      <w:pPr>
        <w:tabs>
          <w:tab w:val="num" w:pos="0"/>
        </w:tabs>
        <w:ind w:start="7068" w:hanging="283"/>
      </w:pPr>
      <w:rPr>
        <w:rFonts w:ascii="Symbol" w:hAnsi="Symbol" w:cs="Symbol" w:hint="default"/>
        <w:lang w:val="en-US" w:eastAsia="en-US" w:bidi="ar-SA"/>
      </w:rPr>
    </w:lvl>
    <w:lvl w:ilvl="8">
      <w:start w:val="0"/>
      <w:numFmt w:val="bullet"/>
      <w:lvlText w:val=""/>
      <w:lvlJc w:val="start"/>
      <w:pPr>
        <w:tabs>
          <w:tab w:val="num" w:pos="0"/>
        </w:tabs>
        <w:ind w:start="7972" w:hanging="283"/>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341" w:hanging="311"/>
      </w:pPr>
      <w:rPr>
        <w:rFonts w:ascii="Arial" w:hAnsi="Arial" w:eastAsia="Arial" w:cs="Arial"/>
        <w:b/>
        <w:bCs/>
        <w:i w:val="false"/>
        <w:iCs w:val="false"/>
        <w:color w:val="16365D"/>
        <w:spacing w:val="-1"/>
        <w:w w:val="100"/>
        <w:sz w:val="28"/>
        <w:szCs w:val="28"/>
        <w:lang w:val="en-US" w:eastAsia="en-US" w:bidi="ar-SA"/>
      </w:rPr>
    </w:lvl>
    <w:lvl w:ilvl="1">
      <w:start w:val="1"/>
      <w:numFmt w:val="decimal"/>
      <w:lvlText w:val="%1.%2"/>
      <w:lvlJc w:val="start"/>
      <w:pPr>
        <w:tabs>
          <w:tab w:val="num" w:pos="0"/>
        </w:tabs>
        <w:ind w:start="406" w:hanging="376"/>
      </w:pPr>
      <w:rPr>
        <w:rFonts w:ascii="Arial" w:hAnsi="Arial" w:eastAsia="Arial" w:cs="Arial"/>
        <w:b/>
        <w:bCs/>
        <w:i w:val="false"/>
        <w:iCs w:val="false"/>
        <w:color w:val="16365D"/>
        <w:spacing w:val="-1"/>
        <w:w w:val="102"/>
        <w:sz w:val="22"/>
        <w:szCs w:val="22"/>
        <w:lang w:val="en-US" w:eastAsia="en-US" w:bidi="ar-SA"/>
      </w:rPr>
    </w:lvl>
    <w:lvl w:ilvl="2">
      <w:start w:val="0"/>
      <w:numFmt w:val="bullet"/>
      <w:lvlText w:val=""/>
      <w:lvlJc w:val="start"/>
      <w:pPr>
        <w:tabs>
          <w:tab w:val="num" w:pos="0"/>
        </w:tabs>
        <w:ind w:start="1442" w:hanging="376"/>
      </w:pPr>
      <w:rPr>
        <w:rFonts w:ascii="Symbol" w:hAnsi="Symbol" w:cs="Symbol" w:hint="default"/>
        <w:lang w:val="en-US" w:eastAsia="en-US" w:bidi="ar-SA"/>
      </w:rPr>
    </w:lvl>
    <w:lvl w:ilvl="3">
      <w:start w:val="0"/>
      <w:numFmt w:val="bullet"/>
      <w:lvlText w:val=""/>
      <w:lvlJc w:val="start"/>
      <w:pPr>
        <w:tabs>
          <w:tab w:val="num" w:pos="0"/>
        </w:tabs>
        <w:ind w:start="2484" w:hanging="376"/>
      </w:pPr>
      <w:rPr>
        <w:rFonts w:ascii="Symbol" w:hAnsi="Symbol" w:cs="Symbol" w:hint="default"/>
        <w:lang w:val="en-US" w:eastAsia="en-US" w:bidi="ar-SA"/>
      </w:rPr>
    </w:lvl>
    <w:lvl w:ilvl="4">
      <w:start w:val="0"/>
      <w:numFmt w:val="bullet"/>
      <w:lvlText w:val=""/>
      <w:lvlJc w:val="start"/>
      <w:pPr>
        <w:tabs>
          <w:tab w:val="num" w:pos="0"/>
        </w:tabs>
        <w:ind w:start="3527" w:hanging="376"/>
      </w:pPr>
      <w:rPr>
        <w:rFonts w:ascii="Symbol" w:hAnsi="Symbol" w:cs="Symbol" w:hint="default"/>
        <w:lang w:val="en-US" w:eastAsia="en-US" w:bidi="ar-SA"/>
      </w:rPr>
    </w:lvl>
    <w:lvl w:ilvl="5">
      <w:start w:val="0"/>
      <w:numFmt w:val="bullet"/>
      <w:lvlText w:val=""/>
      <w:lvlJc w:val="start"/>
      <w:pPr>
        <w:tabs>
          <w:tab w:val="num" w:pos="0"/>
        </w:tabs>
        <w:ind w:start="4569" w:hanging="376"/>
      </w:pPr>
      <w:rPr>
        <w:rFonts w:ascii="Symbol" w:hAnsi="Symbol" w:cs="Symbol" w:hint="default"/>
        <w:lang w:val="en-US" w:eastAsia="en-US" w:bidi="ar-SA"/>
      </w:rPr>
    </w:lvl>
    <w:lvl w:ilvl="6">
      <w:start w:val="0"/>
      <w:numFmt w:val="bullet"/>
      <w:lvlText w:val=""/>
      <w:lvlJc w:val="start"/>
      <w:pPr>
        <w:tabs>
          <w:tab w:val="num" w:pos="0"/>
        </w:tabs>
        <w:ind w:start="5611" w:hanging="376"/>
      </w:pPr>
      <w:rPr>
        <w:rFonts w:ascii="Symbol" w:hAnsi="Symbol" w:cs="Symbol" w:hint="default"/>
        <w:lang w:val="en-US" w:eastAsia="en-US" w:bidi="ar-SA"/>
      </w:rPr>
    </w:lvl>
    <w:lvl w:ilvl="7">
      <w:start w:val="0"/>
      <w:numFmt w:val="bullet"/>
      <w:lvlText w:val=""/>
      <w:lvlJc w:val="start"/>
      <w:pPr>
        <w:tabs>
          <w:tab w:val="num" w:pos="0"/>
        </w:tabs>
        <w:ind w:start="6654" w:hanging="376"/>
      </w:pPr>
      <w:rPr>
        <w:rFonts w:ascii="Symbol" w:hAnsi="Symbol" w:cs="Symbol" w:hint="default"/>
        <w:lang w:val="en-US" w:eastAsia="en-US" w:bidi="ar-SA"/>
      </w:rPr>
    </w:lvl>
    <w:lvl w:ilvl="8">
      <w:start w:val="0"/>
      <w:numFmt w:val="bullet"/>
      <w:lvlText w:val=""/>
      <w:lvlJc w:val="start"/>
      <w:pPr>
        <w:tabs>
          <w:tab w:val="num" w:pos="0"/>
        </w:tabs>
        <w:ind w:start="7696" w:hanging="376"/>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390" w:hanging="360"/>
      </w:pPr>
      <w:rPr/>
    </w:lvl>
    <w:lvl w:ilvl="2">
      <w:start w:val="1"/>
      <w:numFmt w:val="decimal"/>
      <w:lvlText w:val="%1.%2.%3."/>
      <w:lvlJc w:val="start"/>
      <w:pPr>
        <w:tabs>
          <w:tab w:val="num" w:pos="0"/>
        </w:tabs>
        <w:ind w:start="780" w:hanging="720"/>
      </w:pPr>
      <w:rPr/>
    </w:lvl>
    <w:lvl w:ilvl="3">
      <w:start w:val="1"/>
      <w:numFmt w:val="decimal"/>
      <w:lvlText w:val="%1.%2.%3.%4."/>
      <w:lvlJc w:val="start"/>
      <w:pPr>
        <w:tabs>
          <w:tab w:val="num" w:pos="0"/>
        </w:tabs>
        <w:ind w:start="810" w:hanging="720"/>
      </w:pPr>
      <w:rPr/>
    </w:lvl>
    <w:lvl w:ilvl="4">
      <w:start w:val="1"/>
      <w:numFmt w:val="decimal"/>
      <w:lvlText w:val="%1.%2.%3.%4.%5."/>
      <w:lvlJc w:val="start"/>
      <w:pPr>
        <w:tabs>
          <w:tab w:val="num" w:pos="0"/>
        </w:tabs>
        <w:ind w:start="1200" w:hanging="1080"/>
      </w:pPr>
      <w:rPr/>
    </w:lvl>
    <w:lvl w:ilvl="5">
      <w:start w:val="1"/>
      <w:numFmt w:val="decimal"/>
      <w:lvlText w:val="%1.%2.%3.%4.%5.%6."/>
      <w:lvlJc w:val="start"/>
      <w:pPr>
        <w:tabs>
          <w:tab w:val="num" w:pos="0"/>
        </w:tabs>
        <w:ind w:start="1230" w:hanging="1080"/>
      </w:pPr>
      <w:rPr/>
    </w:lvl>
    <w:lvl w:ilvl="6">
      <w:start w:val="1"/>
      <w:numFmt w:val="decimal"/>
      <w:lvlText w:val="%1.%2.%3.%4.%5.%6.%7."/>
      <w:lvlJc w:val="start"/>
      <w:pPr>
        <w:tabs>
          <w:tab w:val="num" w:pos="0"/>
        </w:tabs>
        <w:ind w:start="1620" w:hanging="1440"/>
      </w:pPr>
      <w:rPr/>
    </w:lvl>
    <w:lvl w:ilvl="7">
      <w:start w:val="1"/>
      <w:numFmt w:val="decimal"/>
      <w:lvlText w:val="%1.%2.%3.%4.%5.%6.%7.%8."/>
      <w:lvlJc w:val="start"/>
      <w:pPr>
        <w:tabs>
          <w:tab w:val="num" w:pos="0"/>
        </w:tabs>
        <w:ind w:start="1650" w:hanging="1440"/>
      </w:pPr>
      <w:rPr/>
    </w:lvl>
    <w:lvl w:ilvl="8">
      <w:start w:val="1"/>
      <w:numFmt w:val="decimal"/>
      <w:lvlText w:val="%1.%2.%3.%4.%5.%6.%7.%8.%9."/>
      <w:lvlJc w:val="start"/>
      <w:pPr>
        <w:tabs>
          <w:tab w:val="num" w:pos="0"/>
        </w:tabs>
        <w:ind w:start="2040" w:hanging="180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suppressAutoHyphens w:val="tru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ind w:hanging="310" w:start="341"/>
      <w:outlineLvl w:val="0"/>
    </w:pPr>
    <w:rPr>
      <w:rFonts w:ascii="Arial" w:hAnsi="Arial" w:eastAsia="Arial" w:cs="Arial"/>
      <w:b/>
      <w:bCs/>
      <w:sz w:val="28"/>
      <w:szCs w:val="28"/>
    </w:rPr>
  </w:style>
  <w:style w:type="paragraph" w:styleId="Heading2">
    <w:name w:val="heading 2"/>
    <w:basedOn w:val="Normal"/>
    <w:uiPriority w:val="9"/>
    <w:unhideWhenUsed/>
    <w:qFormat/>
    <w:pPr>
      <w:ind w:hanging="375" w:start="406"/>
      <w:outlineLvl w:val="1"/>
    </w:pPr>
    <w:rPr>
      <w:rFonts w:ascii="Arial" w:hAnsi="Arial" w:eastAsia="Arial" w:cs="Arial"/>
      <w:b/>
      <w:bCs/>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2319a3"/>
    <w:rPr>
      <w:rFonts w:ascii="Segoe UI" w:hAnsi="Segoe UI" w:eastAsia="Times New Roman"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spacing w:before="98" w:after="0"/>
      <w:ind w:start="31"/>
      <w:jc w:val="both"/>
    </w:pPr>
    <w:rPr>
      <w:sz w:val="21"/>
      <w:szCs w:val="21"/>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0"/>
    <w:qFormat/>
    <w:pPr>
      <w:spacing w:before="58" w:after="0"/>
      <w:ind w:hanging="2" w:start="127" w:end="182"/>
      <w:jc w:val="center"/>
    </w:pPr>
    <w:rPr>
      <w:b/>
      <w:bCs/>
      <w:sz w:val="40"/>
      <w:szCs w:val="40"/>
    </w:rPr>
  </w:style>
  <w:style w:type="paragraph" w:styleId="ListParagraph">
    <w:name w:val="List Paragraph"/>
    <w:basedOn w:val="Normal"/>
    <w:uiPriority w:val="1"/>
    <w:qFormat/>
    <w:pPr>
      <w:ind w:hanging="375" w:start="406"/>
    </w:pPr>
    <w:rPr/>
  </w:style>
  <w:style w:type="paragraph" w:styleId="TableParagraph" w:customStyle="1">
    <w:name w:val="Table Paragraph"/>
    <w:basedOn w:val="Normal"/>
    <w:uiPriority w:val="1"/>
    <w:qFormat/>
    <w:pPr>
      <w:spacing w:before="51" w:after="0"/>
      <w:ind w:start="58"/>
    </w:pPr>
    <w:rPr>
      <w:rFonts w:ascii="Arial MT" w:hAnsi="Arial MT" w:eastAsia="Arial MT" w:cs="Arial MT"/>
    </w:rPr>
  </w:style>
  <w:style w:type="paragraph" w:styleId="BalloonText">
    <w:name w:val="Balloon Text"/>
    <w:basedOn w:val="Normal"/>
    <w:link w:val="BalloonTextChar"/>
    <w:uiPriority w:val="99"/>
    <w:semiHidden/>
    <w:unhideWhenUsed/>
    <w:qFormat/>
    <w:rsid w:val="002319a3"/>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paragraph" w:styleId="Footer">
    <w:name w:val="footer"/>
    <w:basedOn w:val="HeaderandFooter"/>
    <w:pPr/>
    <w:rPr/>
  </w:style>
  <w:style w:type="paragraph" w:styleId="BlockQuotationuser">
    <w:name w:val="Block Quotation (user)"/>
    <w:basedOn w:val="Normal"/>
    <w:qFormat/>
    <w:pPr>
      <w:spacing w:before="0" w:after="283"/>
      <w:ind w:hanging="0" w:start="567" w:end="567"/>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jpe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4.jpeg"/><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5.jpeg"/><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image" Target="media/image6.jpeg"/><Relationship Id="rId32" Type="http://schemas.openxmlformats.org/officeDocument/2006/relationships/header" Target="header13.xm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 Id="rId4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BA330-D3F7-45B9-9A58-15B34EF5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Application>LibreOffice/26.2.6.1$Linux_X86_64 LibreOffice_project/620$Build-1</Application>
  <AppVersion>15.0000</AppVersion>
  <Pages>18</Pages>
  <Words>7420</Words>
  <Characters>43724</Characters>
  <CharactersWithSpaces>50692</CharactersWithSpaces>
  <Paragraphs>362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2026-09-15T12:40:00Z</dcterms:created>
  <dc:creator>Atilla Mustafa; Jamila Jabrayilli; Elkhan Aghakishiyev; Alasgar Aliyev</dc:creator>
  <dc:description/>
  <dc:language>en-US</dc:language>
  <cp:lastModifiedBy/>
  <dcterms:modified xsi:type="dcterms:W3CDTF">2026-09-18T22:44:53Z</dcterms:modified>
  <cp:revision>6</cp:revision>
  <dc:subject/>
  <dc:title>MU Glioma Research Paper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LastSaved">
    <vt:filetime>2026-09-06T00:00:00Z</vt:filetime>
  </property>
  <property fmtid="{D5CDD505-2E9C-101B-9397-08002B2CF9AE}" pid="5" name="Producer">
    <vt:lpwstr>LibreOffice 26.2.6.1 (X86_64)</vt:lpwstr>
  </property>
</Properties>
</file>