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3B25D" w14:textId="77777777" w:rsidR="00007179" w:rsidRDefault="00664AFA" w:rsidP="00664AFA">
      <w:pPr>
        <w:jc w:val="center"/>
        <w:rPr>
          <w:b/>
          <w:sz w:val="32"/>
          <w:szCs w:val="32"/>
        </w:rPr>
      </w:pPr>
      <w:r w:rsidRPr="00141DEE">
        <w:rPr>
          <w:b/>
          <w:sz w:val="32"/>
          <w:szCs w:val="32"/>
        </w:rPr>
        <w:t>MEMORANDUM OF UNDERSTANDING</w:t>
      </w:r>
      <w:r w:rsidR="002659D9">
        <w:rPr>
          <w:b/>
          <w:sz w:val="32"/>
          <w:szCs w:val="32"/>
        </w:rPr>
        <w:t xml:space="preserve"> FOR </w:t>
      </w:r>
    </w:p>
    <w:p w14:paraId="68DE7F63" w14:textId="77777777" w:rsidR="00664AFA" w:rsidRPr="00141DEE" w:rsidRDefault="005F21A9" w:rsidP="00664AFA">
      <w:pPr>
        <w:jc w:val="center"/>
        <w:rPr>
          <w:sz w:val="32"/>
          <w:szCs w:val="32"/>
        </w:rPr>
      </w:pPr>
      <w:r>
        <w:rPr>
          <w:b/>
          <w:sz w:val="32"/>
          <w:szCs w:val="32"/>
        </w:rPr>
        <w:t xml:space="preserve">FORCE PANEL SNP ANALYSIS </w:t>
      </w:r>
      <w:r w:rsidR="002E3C80">
        <w:rPr>
          <w:b/>
          <w:sz w:val="32"/>
          <w:szCs w:val="32"/>
        </w:rPr>
        <w:t xml:space="preserve">OF </w:t>
      </w:r>
      <w:r>
        <w:rPr>
          <w:b/>
          <w:sz w:val="32"/>
          <w:szCs w:val="32"/>
        </w:rPr>
        <w:t>DNA</w:t>
      </w:r>
      <w:r w:rsidR="002E3C80">
        <w:rPr>
          <w:b/>
          <w:sz w:val="32"/>
          <w:szCs w:val="32"/>
        </w:rPr>
        <w:t xml:space="preserve"> SAMPLES</w:t>
      </w:r>
    </w:p>
    <w:p w14:paraId="3AC9DE7E" w14:textId="77777777" w:rsidR="00664AFA" w:rsidRDefault="00664AFA" w:rsidP="00664AFA">
      <w:pPr>
        <w:jc w:val="center"/>
        <w:rPr>
          <w:b/>
        </w:rPr>
      </w:pPr>
    </w:p>
    <w:p w14:paraId="6D696655" w14:textId="77777777" w:rsidR="00664AFA" w:rsidRDefault="00664AFA" w:rsidP="00664AFA">
      <w:pPr>
        <w:pStyle w:val="Rubrik1"/>
      </w:pPr>
      <w:r>
        <w:t>BETWEEN</w:t>
      </w:r>
    </w:p>
    <w:p w14:paraId="7F87AD8E" w14:textId="77777777" w:rsidR="00885DDE" w:rsidRPr="00885DDE" w:rsidRDefault="00885DDE" w:rsidP="00885DDE"/>
    <w:p w14:paraId="131A2955" w14:textId="07467949" w:rsidR="00664AFA" w:rsidRDefault="005F21A9" w:rsidP="005F21A9">
      <w:pPr>
        <w:jc w:val="center"/>
        <w:rPr>
          <w:b/>
        </w:rPr>
      </w:pPr>
      <w:r>
        <w:rPr>
          <w:b/>
        </w:rPr>
        <w:t xml:space="preserve">[Laboratory 1 / </w:t>
      </w:r>
      <w:r w:rsidR="00E95F17">
        <w:rPr>
          <w:b/>
        </w:rPr>
        <w:t>National Board of Forensic Medicine, Linkö</w:t>
      </w:r>
      <w:r>
        <w:rPr>
          <w:b/>
        </w:rPr>
        <w:t>ping</w:t>
      </w:r>
      <w:r w:rsidR="00E95F17">
        <w:rPr>
          <w:b/>
        </w:rPr>
        <w:t>, Sweden</w:t>
      </w:r>
      <w:r>
        <w:rPr>
          <w:b/>
        </w:rPr>
        <w:t>]</w:t>
      </w:r>
    </w:p>
    <w:p w14:paraId="6DB06862" w14:textId="77777777" w:rsidR="005F21A9" w:rsidRDefault="005F21A9" w:rsidP="005F21A9">
      <w:pPr>
        <w:jc w:val="center"/>
        <w:rPr>
          <w:b/>
        </w:rPr>
      </w:pPr>
    </w:p>
    <w:p w14:paraId="23A174E2" w14:textId="77777777" w:rsidR="00885DDE" w:rsidRDefault="00885DDE" w:rsidP="00885DDE">
      <w:pPr>
        <w:jc w:val="center"/>
        <w:rPr>
          <w:b/>
        </w:rPr>
      </w:pPr>
      <w:r>
        <w:rPr>
          <w:b/>
        </w:rPr>
        <w:t>AND</w:t>
      </w:r>
    </w:p>
    <w:p w14:paraId="040DD08E" w14:textId="77777777" w:rsidR="005F21A9" w:rsidRDefault="005F21A9" w:rsidP="00885DDE">
      <w:pPr>
        <w:jc w:val="center"/>
        <w:rPr>
          <w:b/>
        </w:rPr>
      </w:pPr>
    </w:p>
    <w:p w14:paraId="210691E2" w14:textId="77777777" w:rsidR="00885DDE" w:rsidRDefault="005F21A9" w:rsidP="00885DDE">
      <w:pPr>
        <w:jc w:val="center"/>
        <w:rPr>
          <w:b/>
        </w:rPr>
      </w:pPr>
      <w:r>
        <w:rPr>
          <w:b/>
        </w:rPr>
        <w:t>[</w:t>
      </w:r>
      <w:r w:rsidRPr="009F35D2">
        <w:rPr>
          <w:b/>
          <w:highlight w:val="yellow"/>
        </w:rPr>
        <w:t>Laboratory 2</w:t>
      </w:r>
      <w:r>
        <w:rPr>
          <w:b/>
        </w:rPr>
        <w:t>]</w:t>
      </w:r>
    </w:p>
    <w:p w14:paraId="14174AB8" w14:textId="77777777" w:rsidR="00664AFA" w:rsidRDefault="00664AFA" w:rsidP="00664AFA">
      <w:pPr>
        <w:pBdr>
          <w:bottom w:val="single" w:sz="12" w:space="1" w:color="auto"/>
        </w:pBdr>
        <w:jc w:val="center"/>
        <w:rPr>
          <w:b/>
        </w:rPr>
      </w:pPr>
    </w:p>
    <w:p w14:paraId="5C9A307C" w14:textId="77777777" w:rsidR="00664AFA" w:rsidRDefault="00664AFA" w:rsidP="00664AFA"/>
    <w:p w14:paraId="2242F55E" w14:textId="77777777" w:rsidR="00664AFA" w:rsidRPr="00F33EF3" w:rsidRDefault="00664AFA" w:rsidP="00664AFA">
      <w:pPr>
        <w:pStyle w:val="Liststycke"/>
        <w:numPr>
          <w:ilvl w:val="0"/>
          <w:numId w:val="3"/>
        </w:numPr>
        <w:jc w:val="center"/>
        <w:rPr>
          <w:b/>
        </w:rPr>
      </w:pPr>
      <w:r w:rsidRPr="003204F5">
        <w:rPr>
          <w:b/>
          <w:u w:val="single"/>
        </w:rPr>
        <w:t>PURPOSE OF THIS DOCUMENT</w:t>
      </w:r>
    </w:p>
    <w:p w14:paraId="7DCBD556" w14:textId="77777777" w:rsidR="00664AFA" w:rsidRDefault="00664AFA" w:rsidP="00664AFA">
      <w:pPr>
        <w:pStyle w:val="Liststycke"/>
        <w:ind w:left="1080"/>
        <w:rPr>
          <w:b/>
        </w:rPr>
      </w:pPr>
    </w:p>
    <w:p w14:paraId="0FC43B4E" w14:textId="63055E18" w:rsidR="00885DDE" w:rsidRDefault="001016D2" w:rsidP="0076036D">
      <w:pPr>
        <w:spacing w:after="200"/>
        <w:jc w:val="both"/>
      </w:pPr>
      <w:r w:rsidRPr="002D048C">
        <w:t xml:space="preserve">This Memorandum of Understanding (MOU) establishes the framework for collaborative </w:t>
      </w:r>
      <w:r w:rsidR="005376A3">
        <w:t>work</w:t>
      </w:r>
      <w:r w:rsidRPr="002D048C">
        <w:t xml:space="preserve"> </w:t>
      </w:r>
      <w:r w:rsidR="00BD1D70" w:rsidRPr="002D048C">
        <w:t xml:space="preserve">between </w:t>
      </w:r>
      <w:r w:rsidR="005F21A9">
        <w:rPr>
          <w:b/>
        </w:rPr>
        <w:t>Laboratory 1</w:t>
      </w:r>
      <w:r w:rsidR="00664AFA" w:rsidRPr="002D048C">
        <w:t xml:space="preserve"> </w:t>
      </w:r>
      <w:r w:rsidR="00885DDE" w:rsidRPr="002D048C">
        <w:t xml:space="preserve">and </w:t>
      </w:r>
      <w:r w:rsidR="005F21A9">
        <w:rPr>
          <w:b/>
        </w:rPr>
        <w:t>Laboratory 2</w:t>
      </w:r>
      <w:r w:rsidR="00DF1C75">
        <w:t xml:space="preserve"> </w:t>
      </w:r>
      <w:r w:rsidR="00DF1C75" w:rsidRPr="00387B6D">
        <w:t xml:space="preserve">to </w:t>
      </w:r>
      <w:r w:rsidR="005F21A9" w:rsidRPr="00387B6D">
        <w:t xml:space="preserve">evaluate the </w:t>
      </w:r>
      <w:proofErr w:type="spellStart"/>
      <w:r w:rsidR="005F21A9" w:rsidRPr="00387B6D">
        <w:t>FORensic</w:t>
      </w:r>
      <w:proofErr w:type="spellEnd"/>
      <w:r w:rsidR="005F21A9" w:rsidRPr="00387B6D">
        <w:t xml:space="preserve"> Capture Enrichment (FORCE) panel for SNP analysis of DNA</w:t>
      </w:r>
      <w:r w:rsidR="00FA5A48" w:rsidRPr="00387B6D">
        <w:t xml:space="preserve"> sample</w:t>
      </w:r>
      <w:r w:rsidR="00275C90" w:rsidRPr="00387B6D">
        <w:t>s</w:t>
      </w:r>
      <w:r w:rsidR="00BD1D70" w:rsidRPr="00387B6D">
        <w:t>.</w:t>
      </w:r>
      <w:r w:rsidR="002D048C" w:rsidRPr="002D048C">
        <w:t xml:space="preserve"> </w:t>
      </w:r>
      <w:r w:rsidR="005376A3">
        <w:t xml:space="preserve">The purpose of this MOU is to provide </w:t>
      </w:r>
      <w:r w:rsidR="00275C90">
        <w:t>information on</w:t>
      </w:r>
      <w:r w:rsidR="005376A3">
        <w:t xml:space="preserve"> </w:t>
      </w:r>
      <w:r w:rsidR="00051046">
        <w:t xml:space="preserve">this </w:t>
      </w:r>
      <w:r w:rsidR="005376A3">
        <w:t>specific cooperative activit</w:t>
      </w:r>
      <w:r w:rsidR="002E3C80">
        <w:t>y</w:t>
      </w:r>
      <w:r w:rsidR="005376A3">
        <w:t xml:space="preserve"> between </w:t>
      </w:r>
      <w:r w:rsidR="005F21A9">
        <w:rPr>
          <w:b/>
        </w:rPr>
        <w:t>Laboratory 1</w:t>
      </w:r>
      <w:r w:rsidR="005F21A9" w:rsidRPr="002D048C">
        <w:t xml:space="preserve"> and </w:t>
      </w:r>
      <w:r w:rsidR="005F21A9">
        <w:rPr>
          <w:b/>
        </w:rPr>
        <w:t>Laboratory 2</w:t>
      </w:r>
      <w:r w:rsidR="002E3C80">
        <w:t xml:space="preserve"> and</w:t>
      </w:r>
      <w:r w:rsidR="005376A3">
        <w:t xml:space="preserve"> to facilitate the exchange of </w:t>
      </w:r>
      <w:r w:rsidR="00051046">
        <w:t>samples</w:t>
      </w:r>
      <w:r w:rsidR="002E3C80">
        <w:t xml:space="preserve"> and </w:t>
      </w:r>
      <w:r w:rsidR="00FA5A48">
        <w:t xml:space="preserve">analytical </w:t>
      </w:r>
      <w:r w:rsidR="002E3C80">
        <w:t>data related to this work.</w:t>
      </w:r>
    </w:p>
    <w:p w14:paraId="7623EAF0" w14:textId="77777777" w:rsidR="00664AFA" w:rsidRDefault="00664AFA" w:rsidP="00664AFA">
      <w:pPr>
        <w:rPr>
          <w:b/>
        </w:rPr>
      </w:pPr>
    </w:p>
    <w:p w14:paraId="5AF8DD97" w14:textId="77777777" w:rsidR="00664AFA" w:rsidRDefault="00664AFA" w:rsidP="00664AFA">
      <w:pPr>
        <w:pStyle w:val="Liststycke"/>
        <w:numPr>
          <w:ilvl w:val="0"/>
          <w:numId w:val="3"/>
        </w:numPr>
        <w:spacing w:after="200"/>
        <w:jc w:val="center"/>
        <w:rPr>
          <w:b/>
          <w:u w:val="single"/>
        </w:rPr>
      </w:pPr>
      <w:r w:rsidRPr="003204F5">
        <w:rPr>
          <w:b/>
          <w:u w:val="single"/>
        </w:rPr>
        <w:t>BACKGROUND</w:t>
      </w:r>
    </w:p>
    <w:p w14:paraId="1859D2FC" w14:textId="77777777" w:rsidR="0068625C" w:rsidRDefault="0068625C" w:rsidP="0068625C">
      <w:pPr>
        <w:ind w:left="360"/>
      </w:pPr>
    </w:p>
    <w:p w14:paraId="48FFBAF4" w14:textId="3011D79E" w:rsidR="005F21A9" w:rsidRDefault="005F21A9" w:rsidP="0076036D">
      <w:pPr>
        <w:jc w:val="both"/>
      </w:pPr>
      <w:r>
        <w:rPr>
          <w:b/>
        </w:rPr>
        <w:t xml:space="preserve">Laboratory 1 </w:t>
      </w:r>
      <w:r>
        <w:t>has developed the FORCE panel for SNP analysis of DNA samples. The FORCE panel includes 5,424 SNPs and encompasses the following SNP marker types: extended kinship, identity, ancestry, phenotype, X-chromosome, and Y-chromosome. In a preliminary study</w:t>
      </w:r>
      <w:r w:rsidR="00C739D3">
        <w:t xml:space="preserve"> (Tillmar et al., 2021</w:t>
      </w:r>
      <w:r w:rsidR="00007179">
        <w:t>)</w:t>
      </w:r>
      <w:r>
        <w:t xml:space="preserve">, the FORCE panel was assessed using hybridization capture and </w:t>
      </w:r>
      <w:r w:rsidR="00007179">
        <w:t>massively parallel</w:t>
      </w:r>
      <w:r>
        <w:t xml:space="preserve"> sequencing</w:t>
      </w:r>
      <w:r w:rsidR="00007179">
        <w:t xml:space="preserve"> (MPS)</w:t>
      </w:r>
      <w:r>
        <w:t xml:space="preserve"> technology. The results indicated that the FORCE panel was robust and suitable for </w:t>
      </w:r>
      <w:r w:rsidR="00007179">
        <w:t xml:space="preserve">both </w:t>
      </w:r>
      <w:r>
        <w:t xml:space="preserve">high quality and degraded DNA samples. </w:t>
      </w:r>
    </w:p>
    <w:p w14:paraId="15B3FF54" w14:textId="77777777" w:rsidR="005F21A9" w:rsidRPr="005F21A9" w:rsidRDefault="005F21A9" w:rsidP="0076036D">
      <w:pPr>
        <w:jc w:val="both"/>
      </w:pPr>
    </w:p>
    <w:p w14:paraId="35570771" w14:textId="5802BDCD" w:rsidR="0068625C" w:rsidRPr="00FE546C" w:rsidRDefault="00007179" w:rsidP="0076036D">
      <w:pPr>
        <w:jc w:val="both"/>
      </w:pPr>
      <w:r>
        <w:t>The aim of the present inter-laboratory study is to assess the performance of the FORCE panel using a standard sample set</w:t>
      </w:r>
      <w:r w:rsidR="00387B6D">
        <w:t xml:space="preserve"> to be</w:t>
      </w:r>
      <w:r>
        <w:t xml:space="preserve"> assayed </w:t>
      </w:r>
      <w:r w:rsidR="00387B6D">
        <w:t>using</w:t>
      </w:r>
      <w:r>
        <w:t xml:space="preserve"> multiple methodological approaches</w:t>
      </w:r>
      <w:r w:rsidR="007F53C8">
        <w:t>.</w:t>
      </w:r>
      <w:r>
        <w:t xml:space="preserve"> The sample set will include control DNAs and mock casework </w:t>
      </w:r>
      <w:r w:rsidR="00387B6D">
        <w:t xml:space="preserve">DNA </w:t>
      </w:r>
      <w:r>
        <w:t>samples</w:t>
      </w:r>
      <w:r w:rsidR="00E62DF7">
        <w:t xml:space="preserve"> (see Table 1)</w:t>
      </w:r>
      <w:r>
        <w:t xml:space="preserve">. The sample set will be provided by </w:t>
      </w:r>
      <w:r w:rsidRPr="00007179">
        <w:rPr>
          <w:b/>
        </w:rPr>
        <w:t xml:space="preserve">Laboratory 1 </w:t>
      </w:r>
      <w:r w:rsidRPr="00EC3034">
        <w:t>to</w:t>
      </w:r>
      <w:r w:rsidRPr="00007179">
        <w:rPr>
          <w:b/>
        </w:rPr>
        <w:t xml:space="preserve"> Laboratory 2</w:t>
      </w:r>
      <w:r w:rsidR="00387B6D">
        <w:rPr>
          <w:b/>
        </w:rPr>
        <w:t xml:space="preserve"> </w:t>
      </w:r>
      <w:r w:rsidR="00387B6D">
        <w:t>and other participating laboratories</w:t>
      </w:r>
      <w:r>
        <w:t xml:space="preserve">. The methodological approaches that will be evaluated by participating laboratories include, but are not limited to: PCR amplification, hybridization capture, sequencing by synthesis, </w:t>
      </w:r>
      <w:r w:rsidR="00C36C82">
        <w:t xml:space="preserve">semi-conductor sequencing, </w:t>
      </w:r>
      <w:r>
        <w:t xml:space="preserve">and pyrosequencing MPS techniques. </w:t>
      </w:r>
      <w:r>
        <w:rPr>
          <w:b/>
        </w:rPr>
        <w:t>Laboratory 2</w:t>
      </w:r>
      <w:r>
        <w:t xml:space="preserve"> will perform FORCE panel en</w:t>
      </w:r>
      <w:r w:rsidR="00387B6D">
        <w:t xml:space="preserve">richment and sequencing of the </w:t>
      </w:r>
      <w:r>
        <w:t>DNA samples</w:t>
      </w:r>
      <w:r w:rsidR="00FE546C">
        <w:t>, using an agreed upon methodological approach</w:t>
      </w:r>
      <w:r w:rsidR="00E62DF7">
        <w:t xml:space="preserve"> (</w:t>
      </w:r>
      <w:proofErr w:type="spellStart"/>
      <w:r w:rsidR="00404593" w:rsidRPr="00404593">
        <w:rPr>
          <w:highlight w:val="yellow"/>
        </w:rPr>
        <w:t>QIAseq</w:t>
      </w:r>
      <w:proofErr w:type="spellEnd"/>
      <w:r w:rsidR="00404593" w:rsidRPr="00404593">
        <w:rPr>
          <w:highlight w:val="yellow"/>
        </w:rPr>
        <w:t xml:space="preserve"> methodology, </w:t>
      </w:r>
      <w:proofErr w:type="spellStart"/>
      <w:r w:rsidR="00E62DF7" w:rsidRPr="00404593">
        <w:rPr>
          <w:highlight w:val="yellow"/>
        </w:rPr>
        <w:t>AmpliSeq</w:t>
      </w:r>
      <w:proofErr w:type="spellEnd"/>
      <w:r w:rsidR="00E62DF7" w:rsidRPr="00404593">
        <w:rPr>
          <w:highlight w:val="yellow"/>
        </w:rPr>
        <w:t xml:space="preserve"> methodology</w:t>
      </w:r>
      <w:r w:rsidR="00404593" w:rsidRPr="00404593">
        <w:rPr>
          <w:highlight w:val="yellow"/>
        </w:rPr>
        <w:t xml:space="preserve">, </w:t>
      </w:r>
      <w:proofErr w:type="spellStart"/>
      <w:r w:rsidR="00404593" w:rsidRPr="00404593">
        <w:rPr>
          <w:highlight w:val="yellow"/>
        </w:rPr>
        <w:t>myBaits</w:t>
      </w:r>
      <w:proofErr w:type="spellEnd"/>
      <w:r w:rsidR="00404593" w:rsidRPr="00404593">
        <w:rPr>
          <w:highlight w:val="yellow"/>
        </w:rPr>
        <w:t xml:space="preserve"> methodology </w:t>
      </w:r>
      <w:proofErr w:type="spellStart"/>
      <w:r w:rsidR="00404593" w:rsidRPr="00404593">
        <w:rPr>
          <w:highlight w:val="yellow"/>
        </w:rPr>
        <w:t>etc</w:t>
      </w:r>
      <w:proofErr w:type="spellEnd"/>
      <w:r w:rsidR="00E62DF7">
        <w:t>)</w:t>
      </w:r>
      <w:r w:rsidR="00FE546C">
        <w:t>,</w:t>
      </w:r>
      <w:r>
        <w:t xml:space="preserve"> and provide the associated </w:t>
      </w:r>
      <w:r w:rsidR="00E941E5">
        <w:t xml:space="preserve">MPS </w:t>
      </w:r>
      <w:r>
        <w:t xml:space="preserve">data to </w:t>
      </w:r>
      <w:r>
        <w:rPr>
          <w:b/>
        </w:rPr>
        <w:t>Laboratory 1</w:t>
      </w:r>
      <w:r>
        <w:t xml:space="preserve"> for </w:t>
      </w:r>
      <w:r w:rsidR="004E3C48">
        <w:t xml:space="preserve">data </w:t>
      </w:r>
      <w:r>
        <w:t xml:space="preserve">analysis. </w:t>
      </w:r>
      <w:r w:rsidR="00FE546C">
        <w:rPr>
          <w:b/>
        </w:rPr>
        <w:t xml:space="preserve">Laboratory 2 </w:t>
      </w:r>
      <w:r w:rsidR="00FE546C">
        <w:t>will not be required to perform data analysis.</w:t>
      </w:r>
    </w:p>
    <w:p w14:paraId="66C5504B" w14:textId="77777777" w:rsidR="004B772D" w:rsidRDefault="004B772D" w:rsidP="00664AFA"/>
    <w:p w14:paraId="3AA629B5" w14:textId="0913894C" w:rsidR="00FA5A48" w:rsidRDefault="00007179" w:rsidP="00664AFA">
      <w:r w:rsidRPr="00007179">
        <w:rPr>
          <w:b/>
        </w:rPr>
        <w:lastRenderedPageBreak/>
        <w:t xml:space="preserve">Laboratory 1 </w:t>
      </w:r>
      <w:r w:rsidR="00EC3034" w:rsidRPr="00EC3034">
        <w:t>and</w:t>
      </w:r>
      <w:r w:rsidRPr="00007179">
        <w:rPr>
          <w:b/>
        </w:rPr>
        <w:t xml:space="preserve"> Laboratory 2</w:t>
      </w:r>
      <w:r w:rsidR="00696A2B">
        <w:t xml:space="preserve"> wish to enter into an agreement </w:t>
      </w:r>
      <w:r>
        <w:t xml:space="preserve">so that </w:t>
      </w:r>
      <w:r>
        <w:rPr>
          <w:b/>
        </w:rPr>
        <w:t>Laboratory 2</w:t>
      </w:r>
      <w:r>
        <w:t xml:space="preserve"> can participate in the</w:t>
      </w:r>
      <w:r w:rsidR="00696A2B">
        <w:t xml:space="preserve"> </w:t>
      </w:r>
      <w:r>
        <w:t xml:space="preserve">inter-laboratory FORCE </w:t>
      </w:r>
      <w:r w:rsidR="00FE546C">
        <w:t>p</w:t>
      </w:r>
      <w:r>
        <w:t>anel study</w:t>
      </w:r>
      <w:r w:rsidR="004B772D">
        <w:t>.</w:t>
      </w:r>
    </w:p>
    <w:p w14:paraId="4D86DD0F" w14:textId="49DB67FC" w:rsidR="00E62DF7" w:rsidRDefault="00E62DF7" w:rsidP="00664AFA"/>
    <w:p w14:paraId="0130F8BB" w14:textId="5278B4FB" w:rsidR="00E62DF7" w:rsidRPr="00404593" w:rsidRDefault="00E62DF7" w:rsidP="00664AFA">
      <w:r w:rsidRPr="00404593">
        <w:t>Table 1 – samples to be included in the study</w:t>
      </w:r>
    </w:p>
    <w:tbl>
      <w:tblPr>
        <w:tblStyle w:val="Tabellrutnt"/>
        <w:tblW w:w="0" w:type="auto"/>
        <w:tblLook w:val="04A0" w:firstRow="1" w:lastRow="0" w:firstColumn="1" w:lastColumn="0" w:noHBand="0" w:noVBand="1"/>
      </w:tblPr>
      <w:tblGrid>
        <w:gridCol w:w="1838"/>
        <w:gridCol w:w="1701"/>
        <w:gridCol w:w="2268"/>
        <w:gridCol w:w="2823"/>
      </w:tblGrid>
      <w:tr w:rsidR="00E62DF7" w:rsidRPr="00404593" w14:paraId="7338625E" w14:textId="3B737754" w:rsidTr="000B423D">
        <w:tc>
          <w:tcPr>
            <w:tcW w:w="1838" w:type="dxa"/>
            <w:tcBorders>
              <w:bottom w:val="single" w:sz="4" w:space="0" w:color="auto"/>
            </w:tcBorders>
          </w:tcPr>
          <w:p w14:paraId="7EEC7410" w14:textId="3FFD5BA1" w:rsidR="00E62DF7" w:rsidRPr="00404593" w:rsidRDefault="00E62DF7" w:rsidP="00664AFA">
            <w:r w:rsidRPr="00404593">
              <w:t>Sample number</w:t>
            </w:r>
          </w:p>
        </w:tc>
        <w:tc>
          <w:tcPr>
            <w:tcW w:w="1701" w:type="dxa"/>
          </w:tcPr>
          <w:p w14:paraId="502D95EE" w14:textId="551DB822" w:rsidR="00E62DF7" w:rsidRPr="00404593" w:rsidRDefault="00E62DF7" w:rsidP="00664AFA">
            <w:r w:rsidRPr="00404593">
              <w:t>Sample type</w:t>
            </w:r>
          </w:p>
        </w:tc>
        <w:tc>
          <w:tcPr>
            <w:tcW w:w="2268" w:type="dxa"/>
          </w:tcPr>
          <w:p w14:paraId="7FDD98B5" w14:textId="75091E10" w:rsidR="00E62DF7" w:rsidRPr="00404593" w:rsidRDefault="00E62DF7" w:rsidP="00664AFA">
            <w:r w:rsidRPr="00404593">
              <w:t>Description</w:t>
            </w:r>
          </w:p>
        </w:tc>
        <w:tc>
          <w:tcPr>
            <w:tcW w:w="2823" w:type="dxa"/>
          </w:tcPr>
          <w:p w14:paraId="57B59493" w14:textId="4FF9B67C" w:rsidR="00E62DF7" w:rsidRPr="00404593" w:rsidRDefault="00E62DF7" w:rsidP="00664AFA">
            <w:r w:rsidRPr="00404593">
              <w:t>Sample status</w:t>
            </w:r>
            <w:r w:rsidR="005F2EB7">
              <w:t xml:space="preserve"> for Laboratory 2</w:t>
            </w:r>
          </w:p>
        </w:tc>
      </w:tr>
      <w:tr w:rsidR="005F2EB7" w14:paraId="5C0BAB4D" w14:textId="6C11BB0B" w:rsidTr="000B423D">
        <w:trPr>
          <w:trHeight w:val="2157"/>
        </w:trPr>
        <w:tc>
          <w:tcPr>
            <w:tcW w:w="1838" w:type="dxa"/>
            <w:tcBorders>
              <w:top w:val="single" w:sz="4" w:space="0" w:color="auto"/>
              <w:left w:val="single" w:sz="4" w:space="0" w:color="auto"/>
              <w:right w:val="single" w:sz="4" w:space="0" w:color="auto"/>
            </w:tcBorders>
            <w:vAlign w:val="center"/>
          </w:tcPr>
          <w:p w14:paraId="5522B1D9" w14:textId="1909CF2C" w:rsidR="005F2EB7" w:rsidRPr="00404593" w:rsidRDefault="005F2EB7" w:rsidP="00115081">
            <w:pPr>
              <w:jc w:val="center"/>
            </w:pPr>
            <w:r w:rsidRPr="00404593">
              <w:t xml:space="preserve">12 samples </w:t>
            </w:r>
          </w:p>
        </w:tc>
        <w:tc>
          <w:tcPr>
            <w:tcW w:w="1701" w:type="dxa"/>
            <w:tcBorders>
              <w:left w:val="single" w:sz="4" w:space="0" w:color="auto"/>
            </w:tcBorders>
            <w:vAlign w:val="center"/>
          </w:tcPr>
          <w:p w14:paraId="2F0DBBDB" w14:textId="62569DEA" w:rsidR="005F2EB7" w:rsidRPr="00404593" w:rsidRDefault="005F2EB7" w:rsidP="00AC3B77">
            <w:pPr>
              <w:jc w:val="center"/>
            </w:pPr>
            <w:r>
              <w:t xml:space="preserve">Reference </w:t>
            </w:r>
            <w:r w:rsidR="000E6078">
              <w:t xml:space="preserve">DNA </w:t>
            </w:r>
            <w:r>
              <w:t>samples</w:t>
            </w:r>
            <w:r w:rsidR="000E6078">
              <w:t xml:space="preserve"> </w:t>
            </w:r>
            <w:r>
              <w:t xml:space="preserve">/Control DNA </w:t>
            </w:r>
          </w:p>
        </w:tc>
        <w:tc>
          <w:tcPr>
            <w:tcW w:w="2268" w:type="dxa"/>
            <w:vAlign w:val="center"/>
          </w:tcPr>
          <w:p w14:paraId="3CEC9B39" w14:textId="14290979" w:rsidR="005F2EB7" w:rsidRPr="00404593" w:rsidRDefault="000E6078" w:rsidP="00441D5C">
            <w:proofErr w:type="spellStart"/>
            <w:r>
              <w:t>Coriell</w:t>
            </w:r>
            <w:proofErr w:type="spellEnd"/>
            <w:r w:rsidR="00441D5C">
              <w:t xml:space="preserve"> samples</w:t>
            </w:r>
            <w:r>
              <w:t xml:space="preserve">, 2800M, NIST </w:t>
            </w:r>
            <w:r w:rsidR="00441D5C">
              <w:t xml:space="preserve">(SRM and </w:t>
            </w:r>
            <w:r w:rsidR="00441D5C" w:rsidRPr="00441D5C">
              <w:t>non-SRM</w:t>
            </w:r>
            <w:r w:rsidR="003750B5">
              <w:t>)</w:t>
            </w:r>
            <w:r w:rsidR="00441D5C" w:rsidRPr="00441D5C">
              <w:t xml:space="preserve"> </w:t>
            </w:r>
            <w:r>
              <w:t xml:space="preserve"> samples</w:t>
            </w:r>
          </w:p>
        </w:tc>
        <w:tc>
          <w:tcPr>
            <w:tcW w:w="2823" w:type="dxa"/>
            <w:vAlign w:val="center"/>
          </w:tcPr>
          <w:p w14:paraId="7F41878F" w14:textId="0C719600" w:rsidR="005F2EB7" w:rsidRDefault="000E6078" w:rsidP="00062F18">
            <w:pPr>
              <w:jc w:val="center"/>
            </w:pPr>
            <w:r>
              <w:t>DNA will be provided</w:t>
            </w:r>
            <w:r w:rsidR="000B423D">
              <w:t xml:space="preserve">, with known DNA concentrations, </w:t>
            </w:r>
            <w:r>
              <w:t xml:space="preserve">in single </w:t>
            </w:r>
            <w:r w:rsidR="00115081">
              <w:t>tubes</w:t>
            </w:r>
            <w:r w:rsidR="000B423D">
              <w:t xml:space="preserve">. </w:t>
            </w:r>
            <w:r w:rsidR="00115081">
              <w:t xml:space="preserve">The </w:t>
            </w:r>
            <w:r w:rsidR="00062F18">
              <w:t>samples</w:t>
            </w:r>
            <w:r w:rsidR="00115081">
              <w:t xml:space="preserve"> will be</w:t>
            </w:r>
            <w:r>
              <w:t xml:space="preserve"> </w:t>
            </w:r>
            <w:r w:rsidR="00115081" w:rsidRPr="00115081">
              <w:t>anonymized</w:t>
            </w:r>
            <w:r w:rsidR="00062F18">
              <w:t xml:space="preserve"> with tubes </w:t>
            </w:r>
            <w:r w:rsidR="00115081">
              <w:t>labeled “Sample A”, “Sample B”…</w:t>
            </w:r>
          </w:p>
        </w:tc>
      </w:tr>
    </w:tbl>
    <w:p w14:paraId="7BC3D866" w14:textId="77777777" w:rsidR="00E62DF7" w:rsidRDefault="00E62DF7" w:rsidP="00664AFA"/>
    <w:p w14:paraId="139AE424" w14:textId="77777777" w:rsidR="006B590F" w:rsidRPr="006B590F" w:rsidRDefault="006B590F" w:rsidP="006B590F">
      <w:pPr>
        <w:spacing w:after="200"/>
      </w:pPr>
    </w:p>
    <w:p w14:paraId="382EF552" w14:textId="77777777" w:rsidR="00664AFA" w:rsidRPr="005376A3" w:rsidRDefault="00D2589E" w:rsidP="00A17C89">
      <w:pPr>
        <w:numPr>
          <w:ilvl w:val="0"/>
          <w:numId w:val="3"/>
        </w:numPr>
        <w:spacing w:after="200"/>
        <w:jc w:val="center"/>
        <w:rPr>
          <w:b/>
        </w:rPr>
      </w:pPr>
      <w:r>
        <w:rPr>
          <w:b/>
          <w:u w:val="single"/>
        </w:rPr>
        <w:t>MATERIAL</w:t>
      </w:r>
      <w:r w:rsidR="00BB39AB" w:rsidRPr="005376A3">
        <w:rPr>
          <w:b/>
          <w:u w:val="single"/>
        </w:rPr>
        <w:t xml:space="preserve"> </w:t>
      </w:r>
      <w:r w:rsidR="00565F32">
        <w:rPr>
          <w:b/>
          <w:u w:val="single"/>
        </w:rPr>
        <w:t>TRANSFER AGREEMENT</w:t>
      </w:r>
    </w:p>
    <w:p w14:paraId="7C862620" w14:textId="59B5186D" w:rsidR="00565F32" w:rsidRPr="00565F32" w:rsidRDefault="00D2589E" w:rsidP="00565F32">
      <w:pPr>
        <w:jc w:val="both"/>
      </w:pPr>
      <w:r>
        <w:t xml:space="preserve">The material exchanged as part of this agreement </w:t>
      </w:r>
      <w:r w:rsidR="00696A2B">
        <w:t>will be</w:t>
      </w:r>
      <w:r>
        <w:t xml:space="preserve"> </w:t>
      </w:r>
      <w:r w:rsidR="007F53C8">
        <w:t>physical sample</w:t>
      </w:r>
      <w:r w:rsidR="00A956AB">
        <w:t>s</w:t>
      </w:r>
      <w:r w:rsidR="007F53C8">
        <w:t xml:space="preserve"> in the form of gross sample or extracted DNA</w:t>
      </w:r>
      <w:r w:rsidR="00696A2B">
        <w:t xml:space="preserve">. </w:t>
      </w:r>
      <w:r w:rsidR="00565F32">
        <w:t xml:space="preserve">The sample set will include control DNAs and mock casework DNA samples. </w:t>
      </w:r>
      <w:r w:rsidR="00387B6D">
        <w:t>12</w:t>
      </w:r>
      <w:r w:rsidR="004B772D">
        <w:t xml:space="preserve"> </w:t>
      </w:r>
      <w:r w:rsidR="002E3C80">
        <w:t>samples</w:t>
      </w:r>
      <w:r w:rsidR="00411F90">
        <w:t xml:space="preserve"> will be transferred from </w:t>
      </w:r>
      <w:r w:rsidR="00EC3034" w:rsidRPr="00007179">
        <w:rPr>
          <w:b/>
        </w:rPr>
        <w:t xml:space="preserve">Laboratory 1 </w:t>
      </w:r>
      <w:r w:rsidR="00EC3034" w:rsidRPr="00EC3034">
        <w:t xml:space="preserve">to </w:t>
      </w:r>
      <w:r w:rsidR="00EC3034" w:rsidRPr="00007179">
        <w:rPr>
          <w:b/>
        </w:rPr>
        <w:t>Laboratory 2</w:t>
      </w:r>
      <w:r w:rsidR="00411F90">
        <w:t>.</w:t>
      </w:r>
      <w:r w:rsidR="00683E27">
        <w:t xml:space="preserve">  </w:t>
      </w:r>
      <w:r w:rsidR="00EC3034">
        <w:rPr>
          <w:b/>
        </w:rPr>
        <w:t>Laboratory</w:t>
      </w:r>
      <w:r w:rsidR="00683E27">
        <w:t xml:space="preserve"> </w:t>
      </w:r>
      <w:r w:rsidR="00EC3034">
        <w:rPr>
          <w:b/>
        </w:rPr>
        <w:t>1</w:t>
      </w:r>
      <w:r w:rsidR="00EC3034">
        <w:t xml:space="preserve"> will obtain any </w:t>
      </w:r>
      <w:r w:rsidR="00683E27">
        <w:t>research approvals</w:t>
      </w:r>
      <w:r w:rsidR="00397126">
        <w:t xml:space="preserve"> necessary for transferring</w:t>
      </w:r>
      <w:r w:rsidR="00683E27">
        <w:t xml:space="preserve"> the samples </w:t>
      </w:r>
      <w:r w:rsidR="00397126">
        <w:t xml:space="preserve">to </w:t>
      </w:r>
      <w:r w:rsidR="00EC3034">
        <w:rPr>
          <w:b/>
        </w:rPr>
        <w:t>Laboratory</w:t>
      </w:r>
      <w:r w:rsidR="00EC3034">
        <w:t xml:space="preserve"> </w:t>
      </w:r>
      <w:r w:rsidR="00EC3034">
        <w:rPr>
          <w:b/>
        </w:rPr>
        <w:t>2</w:t>
      </w:r>
      <w:r w:rsidR="00EC3034">
        <w:t xml:space="preserve"> </w:t>
      </w:r>
      <w:r w:rsidR="00683E27">
        <w:t xml:space="preserve">and the agreed upon </w:t>
      </w:r>
      <w:r w:rsidR="00EC3034">
        <w:rPr>
          <w:b/>
        </w:rPr>
        <w:t>Laboratory</w:t>
      </w:r>
      <w:r w:rsidR="00EC3034">
        <w:t xml:space="preserve"> </w:t>
      </w:r>
      <w:r w:rsidR="00EC3034">
        <w:rPr>
          <w:b/>
        </w:rPr>
        <w:t xml:space="preserve">2 </w:t>
      </w:r>
      <w:r w:rsidR="00EC3034">
        <w:t>FORCE panel</w:t>
      </w:r>
      <w:r w:rsidR="00397126">
        <w:t xml:space="preserve"> </w:t>
      </w:r>
      <w:r w:rsidR="00565F32">
        <w:t xml:space="preserve">testing. </w:t>
      </w:r>
      <w:r w:rsidR="00683E27">
        <w:t xml:space="preserve">However, </w:t>
      </w:r>
      <w:r w:rsidR="00EC3034">
        <w:rPr>
          <w:b/>
        </w:rPr>
        <w:t>Laboratory</w:t>
      </w:r>
      <w:r w:rsidR="00EC3034">
        <w:t xml:space="preserve"> </w:t>
      </w:r>
      <w:r w:rsidR="00EC3034">
        <w:rPr>
          <w:b/>
        </w:rPr>
        <w:t>2</w:t>
      </w:r>
      <w:r w:rsidR="00683E27">
        <w:t xml:space="preserve"> is </w:t>
      </w:r>
      <w:r w:rsidR="00683E27" w:rsidRPr="00717F2A">
        <w:t xml:space="preserve">responsible for obtaining any necessary Human Subjects research approvals or exemptions required to use the </w:t>
      </w:r>
      <w:r w:rsidR="00397126">
        <w:t xml:space="preserve">samples and data at </w:t>
      </w:r>
      <w:r w:rsidR="00EC3034">
        <w:rPr>
          <w:b/>
        </w:rPr>
        <w:t>Laboratory</w:t>
      </w:r>
      <w:r w:rsidR="00EC3034">
        <w:t xml:space="preserve"> </w:t>
      </w:r>
      <w:r w:rsidR="00EC3034">
        <w:rPr>
          <w:b/>
        </w:rPr>
        <w:t>2</w:t>
      </w:r>
      <w:r w:rsidR="00683E27" w:rsidRPr="00717F2A">
        <w:t xml:space="preserve">. </w:t>
      </w:r>
      <w:r w:rsidR="00565F32">
        <w:rPr>
          <w:b/>
          <w:spacing w:val="-2"/>
        </w:rPr>
        <w:t>Laboratory 1</w:t>
      </w:r>
      <w:r w:rsidR="00565F32" w:rsidRPr="00E44779">
        <w:rPr>
          <w:spacing w:val="-2"/>
        </w:rPr>
        <w:t xml:space="preserve"> agrees not to provide </w:t>
      </w:r>
      <w:r w:rsidR="00565F32">
        <w:rPr>
          <w:b/>
          <w:spacing w:val="-2"/>
        </w:rPr>
        <w:t>Laboratory 2</w:t>
      </w:r>
      <w:r w:rsidR="00565F32" w:rsidRPr="00E44779">
        <w:rPr>
          <w:spacing w:val="-2"/>
        </w:rPr>
        <w:t xml:space="preserve"> </w:t>
      </w:r>
      <w:r w:rsidR="00565F32">
        <w:rPr>
          <w:spacing w:val="-2"/>
        </w:rPr>
        <w:t xml:space="preserve">with </w:t>
      </w:r>
      <w:r w:rsidR="00565F32" w:rsidRPr="00E44779">
        <w:rPr>
          <w:spacing w:val="-2"/>
        </w:rPr>
        <w:t>any iden</w:t>
      </w:r>
      <w:r w:rsidR="00565F32">
        <w:rPr>
          <w:spacing w:val="-2"/>
        </w:rPr>
        <w:t xml:space="preserve">tifiable private information of </w:t>
      </w:r>
      <w:r w:rsidR="00565F32" w:rsidRPr="00E44779">
        <w:rPr>
          <w:spacing w:val="-2"/>
        </w:rPr>
        <w:t>any living individual or any code to identify any identifiabl</w:t>
      </w:r>
      <w:r w:rsidR="00565F32">
        <w:rPr>
          <w:spacing w:val="-2"/>
        </w:rPr>
        <w:t xml:space="preserve">e private </w:t>
      </w:r>
      <w:r w:rsidR="00565F32" w:rsidRPr="00E44779">
        <w:rPr>
          <w:spacing w:val="-2"/>
        </w:rPr>
        <w:t>information.</w:t>
      </w:r>
      <w:r w:rsidR="00E62DF7">
        <w:rPr>
          <w:spacing w:val="-2"/>
        </w:rPr>
        <w:t xml:space="preserve"> Samples will be fully anonymized.</w:t>
      </w:r>
      <w:r w:rsidR="00565F32" w:rsidRPr="00E44779">
        <w:rPr>
          <w:spacing w:val="-2"/>
        </w:rPr>
        <w:t xml:space="preserve"> </w:t>
      </w:r>
      <w:r w:rsidR="00565F32">
        <w:rPr>
          <w:b/>
        </w:rPr>
        <w:t>Laboratory 2</w:t>
      </w:r>
      <w:r w:rsidR="00565F32">
        <w:t xml:space="preserve"> agrees to use the samples and resulting data </w:t>
      </w:r>
      <w:r w:rsidR="00565F32" w:rsidRPr="00717F2A">
        <w:t>for the approved project only</w:t>
      </w:r>
      <w:r w:rsidR="00565F32">
        <w:t>,</w:t>
      </w:r>
      <w:r w:rsidR="00565F32" w:rsidRPr="00717F2A">
        <w:t xml:space="preserve"> and will n</w:t>
      </w:r>
      <w:r w:rsidR="00565F32">
        <w:t xml:space="preserve">either </w:t>
      </w:r>
      <w:r w:rsidR="00565F32" w:rsidRPr="00717F2A">
        <w:t xml:space="preserve">use the </w:t>
      </w:r>
      <w:r w:rsidR="00565F32">
        <w:t>samples for any unapproved purposes</w:t>
      </w:r>
      <w:r w:rsidR="00565F32" w:rsidRPr="00717F2A">
        <w:t xml:space="preserve"> </w:t>
      </w:r>
      <w:r w:rsidR="00565F32">
        <w:t>nor</w:t>
      </w:r>
      <w:r w:rsidR="00565F32" w:rsidRPr="00717F2A">
        <w:t xml:space="preserve"> transfer the samples to a third party. </w:t>
      </w:r>
      <w:r w:rsidR="00565F32">
        <w:t xml:space="preserve"> </w:t>
      </w:r>
    </w:p>
    <w:p w14:paraId="41718393" w14:textId="77777777" w:rsidR="00565F32" w:rsidRPr="00717F2A" w:rsidRDefault="00565F32" w:rsidP="00397126">
      <w:pPr>
        <w:jc w:val="both"/>
      </w:pPr>
    </w:p>
    <w:p w14:paraId="3AD1723F" w14:textId="77777777" w:rsidR="00683E27" w:rsidRDefault="00683E27" w:rsidP="00664AFA">
      <w:pPr>
        <w:jc w:val="both"/>
      </w:pPr>
    </w:p>
    <w:p w14:paraId="1018BE8B" w14:textId="77777777" w:rsidR="00565F32" w:rsidRPr="00565F32" w:rsidRDefault="00565F32" w:rsidP="00565F32">
      <w:pPr>
        <w:tabs>
          <w:tab w:val="left" w:pos="720"/>
        </w:tabs>
        <w:ind w:left="360"/>
        <w:jc w:val="center"/>
        <w:rPr>
          <w:u w:val="single"/>
        </w:rPr>
      </w:pPr>
      <w:r>
        <w:rPr>
          <w:b/>
        </w:rPr>
        <w:t>IV.</w:t>
      </w:r>
      <w:r w:rsidRPr="00565F32">
        <w:rPr>
          <w:b/>
        </w:rPr>
        <w:t xml:space="preserve">           </w:t>
      </w:r>
      <w:r>
        <w:rPr>
          <w:b/>
          <w:u w:val="single"/>
        </w:rPr>
        <w:t>DATA TRANSFER AGREEMENT</w:t>
      </w:r>
    </w:p>
    <w:p w14:paraId="2052A44D" w14:textId="77777777" w:rsidR="00565F32" w:rsidRDefault="00565F32" w:rsidP="00664AFA">
      <w:pPr>
        <w:jc w:val="both"/>
      </w:pPr>
    </w:p>
    <w:p w14:paraId="1D75F498" w14:textId="69987CF0" w:rsidR="00A17C89" w:rsidRDefault="00A956AB" w:rsidP="0076036D">
      <w:pPr>
        <w:jc w:val="both"/>
      </w:pPr>
      <w:r>
        <w:t>Test results and</w:t>
      </w:r>
      <w:r w:rsidR="009E52D2">
        <w:t>/or</w:t>
      </w:r>
      <w:r>
        <w:t xml:space="preserve"> other analytical data </w:t>
      </w:r>
      <w:r w:rsidR="004B772D">
        <w:t xml:space="preserve">resulting from </w:t>
      </w:r>
      <w:r w:rsidR="00EC3034">
        <w:rPr>
          <w:b/>
        </w:rPr>
        <w:t>Laboratory</w:t>
      </w:r>
      <w:r w:rsidR="00EC3034">
        <w:t xml:space="preserve"> </w:t>
      </w:r>
      <w:r w:rsidR="00EC3034">
        <w:rPr>
          <w:b/>
        </w:rPr>
        <w:t>2</w:t>
      </w:r>
      <w:r w:rsidR="004B772D">
        <w:t xml:space="preserve">’s testing of the </w:t>
      </w:r>
      <w:r w:rsidR="00EC3034">
        <w:t>DNA</w:t>
      </w:r>
      <w:r w:rsidR="004B772D">
        <w:t xml:space="preserve"> samples will</w:t>
      </w:r>
      <w:r w:rsidR="009E52D2">
        <w:t xml:space="preserve"> be transferred </w:t>
      </w:r>
      <w:r w:rsidR="00EC3034">
        <w:t>to</w:t>
      </w:r>
      <w:r w:rsidR="009E52D2">
        <w:t xml:space="preserve"> </w:t>
      </w:r>
      <w:r w:rsidR="00EC3034" w:rsidRPr="00007179">
        <w:rPr>
          <w:b/>
        </w:rPr>
        <w:t>Laboratory 1</w:t>
      </w:r>
      <w:r w:rsidR="009E52D2">
        <w:t>.</w:t>
      </w:r>
      <w:r>
        <w:t xml:space="preserve"> </w:t>
      </w:r>
      <w:r w:rsidR="00EF7EAA">
        <w:t xml:space="preserve">Data to be transferred include </w:t>
      </w:r>
      <w:r w:rsidR="00A17C89">
        <w:t xml:space="preserve">any quantification or quality control Data, </w:t>
      </w:r>
      <w:r w:rsidR="00EF7EAA">
        <w:t>the original FASTQ files</w:t>
      </w:r>
      <w:r w:rsidR="00A17C89" w:rsidRPr="00E62DF7">
        <w:t>,</w:t>
      </w:r>
      <w:r w:rsidR="00EC3034" w:rsidRPr="00E62DF7">
        <w:t xml:space="preserve"> </w:t>
      </w:r>
      <w:r w:rsidR="00EC3034" w:rsidRPr="00AC3B77">
        <w:t>and</w:t>
      </w:r>
      <w:r w:rsidR="001414E9">
        <w:t>,</w:t>
      </w:r>
      <w:r w:rsidR="00EC3034" w:rsidRPr="00AC3B77">
        <w:t xml:space="preserve"> </w:t>
      </w:r>
      <w:r w:rsidR="001414E9">
        <w:t xml:space="preserve">if such exist, </w:t>
      </w:r>
      <w:r w:rsidR="00EC3034" w:rsidRPr="00AC3B77">
        <w:t>any resulting</w:t>
      </w:r>
      <w:r w:rsidR="00EF7EAA" w:rsidRPr="00AC3B77">
        <w:t xml:space="preserve"> BAMs, </w:t>
      </w:r>
      <w:r w:rsidR="00A17C89" w:rsidRPr="00AC3B77">
        <w:t>sequence</w:t>
      </w:r>
      <w:r w:rsidR="00EF7EAA" w:rsidRPr="00AC3B77">
        <w:t xml:space="preserve"> output reports, </w:t>
      </w:r>
      <w:r w:rsidR="00EC3034" w:rsidRPr="00AC3B77">
        <w:t>and</w:t>
      </w:r>
      <w:r w:rsidR="00EF7EAA" w:rsidRPr="00AC3B77">
        <w:t xml:space="preserve"> sample </w:t>
      </w:r>
      <w:r w:rsidR="00EC3034" w:rsidRPr="00AC3B77">
        <w:t>geno</w:t>
      </w:r>
      <w:r w:rsidR="00EF7EAA" w:rsidRPr="00AC3B77">
        <w:t>types</w:t>
      </w:r>
      <w:r w:rsidR="00EF7EAA">
        <w:t xml:space="preserve">. These </w:t>
      </w:r>
      <w:r w:rsidR="00A17C89">
        <w:t>D</w:t>
      </w:r>
      <w:r w:rsidR="00EF7EAA">
        <w:t xml:space="preserve">ata </w:t>
      </w:r>
      <w:r w:rsidR="00A17C89">
        <w:t xml:space="preserve">and associated </w:t>
      </w:r>
      <w:r w:rsidR="00EF7EAA">
        <w:t xml:space="preserve">files will be transferred through an approved secure transfer service or a secure tape/hard drive provided by </w:t>
      </w:r>
      <w:r w:rsidR="00EC3034" w:rsidRPr="00007179">
        <w:rPr>
          <w:b/>
        </w:rPr>
        <w:t>Laboratory 1</w:t>
      </w:r>
      <w:r w:rsidR="00EF7EAA">
        <w:t xml:space="preserve">. </w:t>
      </w:r>
    </w:p>
    <w:p w14:paraId="51351DCB" w14:textId="77777777" w:rsidR="00A17C89" w:rsidRDefault="00A17C89" w:rsidP="0076036D">
      <w:pPr>
        <w:jc w:val="both"/>
      </w:pPr>
    </w:p>
    <w:p w14:paraId="7DC4E5E2" w14:textId="05D35396" w:rsidR="00A17C89" w:rsidRPr="00E44779" w:rsidRDefault="00A17C89" w:rsidP="0076036D">
      <w:pPr>
        <w:jc w:val="both"/>
        <w:rPr>
          <w:spacing w:val="-2"/>
        </w:rPr>
      </w:pPr>
      <w:r>
        <w:rPr>
          <w:b/>
          <w:spacing w:val="-2"/>
        </w:rPr>
        <w:t>Laboratory 2</w:t>
      </w:r>
      <w:r w:rsidRPr="00E44779">
        <w:rPr>
          <w:spacing w:val="-2"/>
        </w:rPr>
        <w:t xml:space="preserve"> </w:t>
      </w:r>
      <w:r w:rsidR="00C36C82">
        <w:rPr>
          <w:spacing w:val="-2"/>
        </w:rPr>
        <w:t>will</w:t>
      </w:r>
      <w:r w:rsidR="00C36C82" w:rsidRPr="00E44779">
        <w:rPr>
          <w:spacing w:val="-2"/>
        </w:rPr>
        <w:t xml:space="preserve"> </w:t>
      </w:r>
      <w:r w:rsidRPr="00E44779">
        <w:rPr>
          <w:spacing w:val="-2"/>
        </w:rPr>
        <w:t xml:space="preserve">not attempt to decipher any identifiable private information from the Data or to identify the individual who is the subject of the Data. </w:t>
      </w:r>
    </w:p>
    <w:p w14:paraId="05B419F3" w14:textId="77777777" w:rsidR="00A17C89" w:rsidRDefault="00A17C89" w:rsidP="00664AFA">
      <w:pPr>
        <w:jc w:val="both"/>
        <w:rPr>
          <w:b/>
        </w:rPr>
      </w:pPr>
    </w:p>
    <w:p w14:paraId="695422B7" w14:textId="77777777" w:rsidR="00397126" w:rsidRDefault="00A17C89" w:rsidP="00664AFA">
      <w:pPr>
        <w:jc w:val="both"/>
      </w:pPr>
      <w:r>
        <w:rPr>
          <w:b/>
        </w:rPr>
        <w:lastRenderedPageBreak/>
        <w:t xml:space="preserve">Laboratory 1 </w:t>
      </w:r>
      <w:r>
        <w:t xml:space="preserve">reserves the right to transfer the Data to a third party </w:t>
      </w:r>
      <w:r w:rsidRPr="00A17C89">
        <w:rPr>
          <w:b/>
        </w:rPr>
        <w:t xml:space="preserve">(Laboratory 3) </w:t>
      </w:r>
      <w:r>
        <w:t>for analytical support, provided the third party adheres to and does not override the conditions of the MOU agreed upon herein.</w:t>
      </w:r>
      <w:r w:rsidR="00EF7EAA">
        <w:t xml:space="preserve"> </w:t>
      </w:r>
    </w:p>
    <w:p w14:paraId="5BC4C376" w14:textId="77777777" w:rsidR="00565F32" w:rsidRDefault="00565F32" w:rsidP="00664AFA">
      <w:pPr>
        <w:jc w:val="both"/>
      </w:pPr>
    </w:p>
    <w:p w14:paraId="268B5ECF" w14:textId="77777777" w:rsidR="00D2589E" w:rsidRDefault="00D2589E" w:rsidP="00664AFA">
      <w:pPr>
        <w:jc w:val="both"/>
      </w:pPr>
    </w:p>
    <w:p w14:paraId="4BC0F5FA" w14:textId="77777777" w:rsidR="00BF5510" w:rsidRPr="00565F32" w:rsidRDefault="00565F32" w:rsidP="00565F32">
      <w:pPr>
        <w:tabs>
          <w:tab w:val="left" w:pos="720"/>
        </w:tabs>
        <w:ind w:left="360"/>
        <w:jc w:val="center"/>
        <w:rPr>
          <w:u w:val="single"/>
        </w:rPr>
      </w:pPr>
      <w:r>
        <w:rPr>
          <w:b/>
        </w:rPr>
        <w:t>V.</w:t>
      </w:r>
      <w:r w:rsidR="00B17E2C" w:rsidRPr="00565F32">
        <w:rPr>
          <w:b/>
        </w:rPr>
        <w:t xml:space="preserve">           </w:t>
      </w:r>
      <w:r w:rsidR="00BF5510" w:rsidRPr="00565F32">
        <w:rPr>
          <w:b/>
          <w:u w:val="single"/>
        </w:rPr>
        <w:t>RELEASE OF INFORMATION</w:t>
      </w:r>
    </w:p>
    <w:p w14:paraId="44A95C4D" w14:textId="77777777" w:rsidR="00730512" w:rsidRPr="00F50A79" w:rsidRDefault="00730512" w:rsidP="00BF5510">
      <w:pPr>
        <w:tabs>
          <w:tab w:val="left" w:pos="720"/>
        </w:tabs>
        <w:rPr>
          <w:u w:val="single"/>
        </w:rPr>
      </w:pPr>
    </w:p>
    <w:p w14:paraId="3046BFB4" w14:textId="17808DA6" w:rsidR="00BF5510" w:rsidRDefault="000974AE" w:rsidP="0076036D">
      <w:pPr>
        <w:jc w:val="both"/>
      </w:pPr>
      <w:r w:rsidRPr="003204F5">
        <w:t xml:space="preserve">In the event </w:t>
      </w:r>
      <w:r>
        <w:t>that the analyses pursuant to this MOU provide results of interest to the scientific community, the parties named in this document agree to publication of the results in the appropriate scientific vehicle</w:t>
      </w:r>
      <w:r w:rsidR="005C2358">
        <w:t xml:space="preserve"> and </w:t>
      </w:r>
      <w:r w:rsidR="005C2358" w:rsidRPr="005C2358">
        <w:t>in accordance with academic practice.</w:t>
      </w:r>
      <w:r w:rsidR="005C2358">
        <w:t xml:space="preserve"> </w:t>
      </w:r>
      <w:r>
        <w:t xml:space="preserve">In no case, however, will public release of shared </w:t>
      </w:r>
      <w:r w:rsidR="00730512">
        <w:t xml:space="preserve">material </w:t>
      </w:r>
      <w:r w:rsidR="00BF5510">
        <w:t xml:space="preserve">be made by either party without coordination and mutual agreement.  </w:t>
      </w:r>
    </w:p>
    <w:p w14:paraId="2FE1A4EF" w14:textId="65F9EF23" w:rsidR="00C36C82" w:rsidRDefault="00C36C82" w:rsidP="00730512"/>
    <w:p w14:paraId="40580AF3" w14:textId="77777777" w:rsidR="001F1425" w:rsidRDefault="001F1425" w:rsidP="00730512"/>
    <w:p w14:paraId="0B42DC47" w14:textId="1E7B25DC" w:rsidR="00C36C82" w:rsidRDefault="00C36C82" w:rsidP="00AC3B77">
      <w:pPr>
        <w:pStyle w:val="Liststycke"/>
        <w:numPr>
          <w:ilvl w:val="0"/>
          <w:numId w:val="5"/>
        </w:numPr>
        <w:jc w:val="center"/>
        <w:rPr>
          <w:b/>
          <w:u w:val="single"/>
        </w:rPr>
      </w:pPr>
      <w:r w:rsidRPr="00AC3B77">
        <w:rPr>
          <w:b/>
          <w:u w:val="single"/>
        </w:rPr>
        <w:t>RIGHT OF OWNERSHIP</w:t>
      </w:r>
    </w:p>
    <w:p w14:paraId="75681A99" w14:textId="77777777" w:rsidR="00EE7824" w:rsidRPr="00AC3B77" w:rsidRDefault="00EE7824" w:rsidP="00EE7824">
      <w:pPr>
        <w:rPr>
          <w:b/>
          <w:u w:val="single"/>
        </w:rPr>
      </w:pPr>
    </w:p>
    <w:p w14:paraId="0BDD3842" w14:textId="33EB874E" w:rsidR="001F1425" w:rsidRDefault="00EE7824" w:rsidP="0076036D">
      <w:pPr>
        <w:pStyle w:val="Ingetavstnd"/>
        <w:jc w:val="both"/>
      </w:pPr>
      <w:r>
        <w:t>Background Knowledge is proprietary of Laboratory 1</w:t>
      </w:r>
      <w:r w:rsidRPr="00EE7824">
        <w:t xml:space="preserve">. </w:t>
      </w:r>
      <w:r w:rsidRPr="00AC3B77">
        <w:t>The Parties grant to each other a royalty-free, non-exclusive license for the duration of the Research Project to use the Background Knowledge. The license is limited to use for research necessary for the completion of the Research Project.</w:t>
      </w:r>
    </w:p>
    <w:p w14:paraId="6DB29C71" w14:textId="014BE2A7" w:rsidR="00EE7824" w:rsidRDefault="00EE7824" w:rsidP="0076036D">
      <w:pPr>
        <w:pStyle w:val="Ingetavstnd"/>
        <w:jc w:val="both"/>
      </w:pPr>
      <w:r w:rsidRPr="00AC3B77">
        <w:t>The right of ownership to Foreground Knowledge shall belong to the Party whose employees intellectually have generated the relevant Foreground Knowledge.</w:t>
      </w:r>
    </w:p>
    <w:p w14:paraId="5742DEC8" w14:textId="48D9BE96" w:rsidR="00EE7824" w:rsidRPr="00757A8C" w:rsidRDefault="00EE7824" w:rsidP="0076036D">
      <w:pPr>
        <w:pStyle w:val="Ingetavstnd"/>
        <w:jc w:val="both"/>
      </w:pPr>
      <w:r w:rsidRPr="00757A8C">
        <w:t>The right of ownership to Joint Foreground Knowledge shall belong to the contributing Parties jointly.</w:t>
      </w:r>
    </w:p>
    <w:p w14:paraId="2C7C61F8" w14:textId="77777777" w:rsidR="00EE7824" w:rsidRPr="00757A8C" w:rsidRDefault="00EE7824" w:rsidP="0076036D">
      <w:pPr>
        <w:jc w:val="both"/>
        <w:rPr>
          <w:b/>
        </w:rPr>
      </w:pPr>
    </w:p>
    <w:p w14:paraId="026C83BB" w14:textId="77777777" w:rsidR="00EE7824" w:rsidRPr="00757A8C" w:rsidRDefault="001F1425" w:rsidP="0076036D">
      <w:pPr>
        <w:pStyle w:val="Ingetavstnd"/>
        <w:jc w:val="both"/>
      </w:pPr>
      <w:r w:rsidRPr="00757A8C">
        <w:t>It is defined as Background Knowledge all information – including any result, regardless of form and regardless of whether it is or can be protected, and intellectual property rights derived thereof – which does not constitute Foreground Knowledge. All information, including any result, is considered Background Knowledge unless it is evident from the circumstances that it is Foreground Knowledge.</w:t>
      </w:r>
    </w:p>
    <w:p w14:paraId="764D1411" w14:textId="5B7714F9" w:rsidR="001F1425" w:rsidRPr="00757A8C" w:rsidRDefault="001F1425" w:rsidP="0076036D">
      <w:pPr>
        <w:pStyle w:val="Ingetavstnd"/>
        <w:jc w:val="both"/>
      </w:pPr>
      <w:r w:rsidRPr="00757A8C">
        <w:t>It is defined as Foreground Knowledge all information – including any result, regardless of form and regardless of whether it is or can be protected and intellectual property rights derived thereof - (i) which originates from the Research Project, and (ii) which is generated by a person employed with and allocated by a Party to the Research Project.</w:t>
      </w:r>
    </w:p>
    <w:p w14:paraId="25352C0B" w14:textId="6564F909" w:rsidR="00664AFA" w:rsidRDefault="001F1425" w:rsidP="0076036D">
      <w:pPr>
        <w:pStyle w:val="Ingetavstnd"/>
        <w:jc w:val="both"/>
      </w:pPr>
      <w:r w:rsidRPr="00757A8C">
        <w:t>It is defined as Joint Foreground Knowledge any foreground knowledge to which both Parties have contributed intellectually</w:t>
      </w:r>
      <w:r w:rsidRPr="0076036D">
        <w:t>.</w:t>
      </w:r>
    </w:p>
    <w:p w14:paraId="1FD6FFC2" w14:textId="77777777" w:rsidR="0076036D" w:rsidRPr="0076036D" w:rsidRDefault="0076036D" w:rsidP="0076036D">
      <w:pPr>
        <w:pStyle w:val="Ingetavstnd"/>
        <w:jc w:val="both"/>
      </w:pPr>
    </w:p>
    <w:p w14:paraId="03E758B3" w14:textId="77777777" w:rsidR="00F50A79" w:rsidRPr="00565F32" w:rsidRDefault="00664AFA" w:rsidP="00565F32">
      <w:pPr>
        <w:pStyle w:val="Liststycke"/>
        <w:numPr>
          <w:ilvl w:val="0"/>
          <w:numId w:val="5"/>
        </w:numPr>
        <w:spacing w:after="200" w:line="276" w:lineRule="auto"/>
        <w:jc w:val="center"/>
        <w:rPr>
          <w:b/>
          <w:u w:val="single"/>
        </w:rPr>
      </w:pPr>
      <w:r w:rsidRPr="00565F32">
        <w:rPr>
          <w:b/>
          <w:u w:val="single"/>
        </w:rPr>
        <w:t>TERMINATION</w:t>
      </w:r>
    </w:p>
    <w:p w14:paraId="5D426F11" w14:textId="00EE1A64" w:rsidR="00B44BFD" w:rsidRPr="006B590F" w:rsidRDefault="002333A5" w:rsidP="0076036D">
      <w:pPr>
        <w:pStyle w:val="Ingetavstnd"/>
        <w:jc w:val="both"/>
        <w:rPr>
          <w:b/>
          <w:u w:val="single"/>
        </w:rPr>
      </w:pPr>
      <w:r w:rsidRPr="00F50A79">
        <w:t xml:space="preserve">Either party may request changes to this MOU. Any changes, modifications, revisions or amendments to this MOU which are mutually agreed upon by </w:t>
      </w:r>
      <w:r w:rsidR="00975F61">
        <w:t xml:space="preserve">the parties </w:t>
      </w:r>
      <w:r w:rsidRPr="00F50A79">
        <w:t xml:space="preserve">shall be incorporated </w:t>
      </w:r>
      <w:r w:rsidR="00730512">
        <w:t>in writing</w:t>
      </w:r>
      <w:r w:rsidRPr="00F50A79">
        <w:t xml:space="preserve">, and </w:t>
      </w:r>
      <w:r w:rsidR="00730512">
        <w:t xml:space="preserve">be </w:t>
      </w:r>
      <w:r w:rsidRPr="00F50A79">
        <w:t xml:space="preserve">effective when executed and signed by </w:t>
      </w:r>
      <w:r w:rsidR="00730512">
        <w:t xml:space="preserve">both parties.  </w:t>
      </w:r>
      <w:r w:rsidR="00664AFA" w:rsidRPr="00F50A79">
        <w:t>This agreement may be terminated</w:t>
      </w:r>
      <w:r w:rsidR="002F058F" w:rsidRPr="00F50A79">
        <w:t xml:space="preserve"> at any time by either party upon written notification</w:t>
      </w:r>
      <w:r w:rsidR="00664AFA">
        <w:t>.</w:t>
      </w:r>
      <w:r w:rsidR="002865CA">
        <w:t xml:space="preserve"> </w:t>
      </w:r>
      <w:r w:rsidR="002865CA" w:rsidRPr="002865CA">
        <w:t>The Agreement becomes effective on the last day of signature</w:t>
      </w:r>
      <w:r w:rsidR="002865CA">
        <w:t>.</w:t>
      </w:r>
    </w:p>
    <w:p w14:paraId="58ABC72D" w14:textId="77777777" w:rsidR="00664AFA" w:rsidRDefault="00664AFA" w:rsidP="00664AFA">
      <w:pPr>
        <w:spacing w:after="200" w:line="276" w:lineRule="auto"/>
        <w:rPr>
          <w:b/>
          <w:u w:val="single"/>
        </w:rPr>
      </w:pPr>
    </w:p>
    <w:p w14:paraId="5104E7AF" w14:textId="77777777" w:rsidR="00664AFA" w:rsidRPr="00565F32" w:rsidRDefault="00664AFA" w:rsidP="00565F32">
      <w:pPr>
        <w:pStyle w:val="Liststycke"/>
        <w:numPr>
          <w:ilvl w:val="0"/>
          <w:numId w:val="5"/>
        </w:numPr>
        <w:spacing w:after="200" w:line="276" w:lineRule="auto"/>
        <w:jc w:val="center"/>
        <w:rPr>
          <w:b/>
          <w:u w:val="single"/>
        </w:rPr>
      </w:pPr>
      <w:r w:rsidRPr="00565F32">
        <w:rPr>
          <w:b/>
          <w:u w:val="single"/>
        </w:rPr>
        <w:t>OPERATION</w:t>
      </w:r>
    </w:p>
    <w:p w14:paraId="4438F25A" w14:textId="77777777" w:rsidR="00664AFA" w:rsidRPr="00F50A79" w:rsidRDefault="00664AFA" w:rsidP="0076036D">
      <w:pPr>
        <w:pStyle w:val="Brdtext"/>
        <w:jc w:val="both"/>
        <w:rPr>
          <w:szCs w:val="24"/>
        </w:rPr>
      </w:pPr>
      <w:r w:rsidRPr="00F50A79">
        <w:rPr>
          <w:szCs w:val="24"/>
        </w:rPr>
        <w:lastRenderedPageBreak/>
        <w:t>A principal point of contact within each organization shall coordina</w:t>
      </w:r>
      <w:r w:rsidR="001C440D" w:rsidRPr="00F50A79">
        <w:rPr>
          <w:szCs w:val="24"/>
        </w:rPr>
        <w:t xml:space="preserve">te </w:t>
      </w:r>
      <w:r w:rsidR="002F058F" w:rsidRPr="00F50A79">
        <w:rPr>
          <w:szCs w:val="24"/>
        </w:rPr>
        <w:t xml:space="preserve">communications </w:t>
      </w:r>
      <w:r w:rsidRPr="00F50A79">
        <w:rPr>
          <w:szCs w:val="24"/>
        </w:rPr>
        <w:t xml:space="preserve">resulting from this </w:t>
      </w:r>
      <w:r w:rsidR="003257A1" w:rsidRPr="00F50A79">
        <w:rPr>
          <w:szCs w:val="24"/>
        </w:rPr>
        <w:t xml:space="preserve">MOU.  </w:t>
      </w:r>
      <w:r w:rsidRPr="00F50A79">
        <w:rPr>
          <w:szCs w:val="24"/>
        </w:rPr>
        <w:t>Communications may be in writing</w:t>
      </w:r>
      <w:r w:rsidR="000974AE">
        <w:rPr>
          <w:szCs w:val="24"/>
        </w:rPr>
        <w:t xml:space="preserve">, </w:t>
      </w:r>
      <w:r w:rsidRPr="00F50A79">
        <w:rPr>
          <w:szCs w:val="24"/>
        </w:rPr>
        <w:t>in person</w:t>
      </w:r>
      <w:r w:rsidR="002F058F" w:rsidRPr="00F50A79">
        <w:rPr>
          <w:szCs w:val="24"/>
        </w:rPr>
        <w:t>,</w:t>
      </w:r>
      <w:r w:rsidR="00673520" w:rsidRPr="00F50A79">
        <w:rPr>
          <w:szCs w:val="24"/>
        </w:rPr>
        <w:t xml:space="preserve"> or by phone.</w:t>
      </w:r>
    </w:p>
    <w:p w14:paraId="57B62F00" w14:textId="6F0DDDF3" w:rsidR="002F058F" w:rsidRDefault="002F058F" w:rsidP="00664AFA">
      <w:pPr>
        <w:pStyle w:val="Brdtext"/>
      </w:pPr>
    </w:p>
    <w:p w14:paraId="02089AE8" w14:textId="77777777" w:rsidR="005C2358" w:rsidRDefault="005C2358" w:rsidP="00664AFA">
      <w:pPr>
        <w:pStyle w:val="Brdtext"/>
      </w:pPr>
    </w:p>
    <w:p w14:paraId="0335F7B5" w14:textId="6CA19DE6" w:rsidR="00664AFA" w:rsidRPr="005B7EBA" w:rsidRDefault="00E62DF7" w:rsidP="00757A8C">
      <w:pPr>
        <w:pStyle w:val="Brdtext"/>
        <w:numPr>
          <w:ilvl w:val="0"/>
          <w:numId w:val="5"/>
        </w:numPr>
        <w:jc w:val="center"/>
        <w:rPr>
          <w:b/>
          <w:u w:val="single"/>
        </w:rPr>
      </w:pPr>
      <w:r w:rsidRPr="005B7EBA">
        <w:rPr>
          <w:b/>
          <w:u w:val="single"/>
        </w:rPr>
        <w:t>FINANCING</w:t>
      </w:r>
    </w:p>
    <w:p w14:paraId="486C9306" w14:textId="77777777" w:rsidR="00664AFA" w:rsidRDefault="00664AFA" w:rsidP="00664AFA">
      <w:pPr>
        <w:pStyle w:val="Brdtext"/>
      </w:pPr>
    </w:p>
    <w:p w14:paraId="4081EB64" w14:textId="3A1AB45B" w:rsidR="00E62DF7" w:rsidRPr="00F50A79" w:rsidRDefault="00E62DF7" w:rsidP="00757A8C">
      <w:pPr>
        <w:pStyle w:val="Brdtext"/>
        <w:jc w:val="both"/>
        <w:rPr>
          <w:szCs w:val="24"/>
        </w:rPr>
      </w:pPr>
      <w:r>
        <w:rPr>
          <w:szCs w:val="24"/>
        </w:rPr>
        <w:t>Laboratory 1 and Laboratory 2 shall defray own costs in relation to the Project. If the parties apply for and obtain external funding, additional agreements may be entered between the involved parties.</w:t>
      </w:r>
    </w:p>
    <w:p w14:paraId="66B0FB1D" w14:textId="2E9E759B" w:rsidR="002865CA" w:rsidRDefault="002865CA" w:rsidP="00664AFA">
      <w:pPr>
        <w:pStyle w:val="Brdtext"/>
      </w:pPr>
    </w:p>
    <w:p w14:paraId="10128EA2" w14:textId="77777777" w:rsidR="002865CA" w:rsidRDefault="002865CA" w:rsidP="00664AFA">
      <w:pPr>
        <w:pStyle w:val="Brdtext"/>
      </w:pPr>
    </w:p>
    <w:p w14:paraId="12B62C2D" w14:textId="33940159" w:rsidR="00EC3034" w:rsidRDefault="002865CA" w:rsidP="00757A8C">
      <w:pPr>
        <w:pStyle w:val="Brdtext"/>
        <w:numPr>
          <w:ilvl w:val="0"/>
          <w:numId w:val="5"/>
        </w:numPr>
        <w:jc w:val="center"/>
        <w:rPr>
          <w:b/>
          <w:u w:val="single"/>
        </w:rPr>
      </w:pPr>
      <w:r w:rsidRPr="00757A8C">
        <w:rPr>
          <w:b/>
          <w:u w:val="single"/>
        </w:rPr>
        <w:t>LIABILITY</w:t>
      </w:r>
    </w:p>
    <w:p w14:paraId="5F192D42" w14:textId="77777777" w:rsidR="002865CA" w:rsidRDefault="002865CA" w:rsidP="00757A8C">
      <w:pPr>
        <w:pStyle w:val="Brdtext"/>
        <w:jc w:val="center"/>
        <w:rPr>
          <w:b/>
          <w:u w:val="single"/>
        </w:rPr>
      </w:pPr>
    </w:p>
    <w:p w14:paraId="38D2C8A8" w14:textId="77777777" w:rsidR="002865CA" w:rsidRPr="00757A8C" w:rsidRDefault="002865CA" w:rsidP="00757A8C">
      <w:pPr>
        <w:pStyle w:val="Brdtext"/>
        <w:jc w:val="both"/>
      </w:pPr>
      <w:r w:rsidRPr="00757A8C">
        <w:t>A Party shall be liable for gross negligence or intentional neglect of its obligations and for the wrongful acts and omissions of their employees and students under this Agreement. However, such liability shall not apply to consequential losses other indirect losses.</w:t>
      </w:r>
    </w:p>
    <w:p w14:paraId="256E7B49" w14:textId="5756AF68" w:rsidR="002865CA" w:rsidRPr="00757A8C" w:rsidRDefault="002865CA" w:rsidP="00757A8C">
      <w:pPr>
        <w:pStyle w:val="Brdtext"/>
        <w:jc w:val="both"/>
      </w:pPr>
      <w:r w:rsidRPr="00757A8C">
        <w:t>None of the Parties shall be liable for a failure to fulfil their obligations under the Agreement if the failure to perform is due to force majeure, an unforeseen intervening event, outside the control</w:t>
      </w:r>
      <w:r>
        <w:t xml:space="preserve"> of the Parties.</w:t>
      </w:r>
    </w:p>
    <w:p w14:paraId="2FE4A2A9" w14:textId="32F68FBB" w:rsidR="002865CA" w:rsidRDefault="002865CA" w:rsidP="00757A8C">
      <w:pPr>
        <w:pStyle w:val="Brdtext"/>
        <w:jc w:val="center"/>
        <w:rPr>
          <w:b/>
          <w:u w:val="single"/>
        </w:rPr>
      </w:pPr>
    </w:p>
    <w:p w14:paraId="37F4B939" w14:textId="427293B4" w:rsidR="002865CA" w:rsidRDefault="002865CA" w:rsidP="00757A8C">
      <w:pPr>
        <w:pStyle w:val="Brdtext"/>
        <w:jc w:val="center"/>
        <w:rPr>
          <w:b/>
          <w:u w:val="single"/>
        </w:rPr>
      </w:pPr>
    </w:p>
    <w:p w14:paraId="40992B9E" w14:textId="4F2B3453" w:rsidR="002865CA" w:rsidRDefault="002865CA" w:rsidP="00757A8C">
      <w:pPr>
        <w:pStyle w:val="Brdtext"/>
        <w:jc w:val="center"/>
        <w:rPr>
          <w:b/>
          <w:u w:val="single"/>
        </w:rPr>
      </w:pPr>
    </w:p>
    <w:p w14:paraId="47832B85" w14:textId="0E295F37" w:rsidR="002865CA" w:rsidRDefault="002865CA" w:rsidP="00757A8C">
      <w:pPr>
        <w:pStyle w:val="Brdtext"/>
        <w:jc w:val="center"/>
        <w:rPr>
          <w:b/>
          <w:u w:val="single"/>
        </w:rPr>
      </w:pPr>
    </w:p>
    <w:p w14:paraId="643688E9" w14:textId="77777777" w:rsidR="002865CA" w:rsidRPr="00757A8C" w:rsidRDefault="002865CA" w:rsidP="00757A8C">
      <w:pPr>
        <w:pStyle w:val="Brdtext"/>
        <w:jc w:val="center"/>
        <w:rPr>
          <w:b/>
          <w:u w:val="single"/>
        </w:rPr>
      </w:pPr>
    </w:p>
    <w:p w14:paraId="71C98499" w14:textId="77777777" w:rsidR="00664AFA" w:rsidRDefault="00EC3034" w:rsidP="00EC3034">
      <w:pPr>
        <w:pStyle w:val="Brdtext"/>
        <w:ind w:firstLine="720"/>
      </w:pPr>
      <w:r>
        <w:rPr>
          <w:b/>
        </w:rPr>
        <w:t>Laboratory 1</w:t>
      </w:r>
      <w:r w:rsidR="00664AFA" w:rsidRPr="00664AFA">
        <w:rPr>
          <w:b/>
        </w:rPr>
        <w:t xml:space="preserve"> Principal Point of Contact</w:t>
      </w:r>
      <w:r w:rsidR="00664AFA">
        <w:t>:</w:t>
      </w:r>
    </w:p>
    <w:p w14:paraId="5AF0E202" w14:textId="77777777" w:rsidR="00EC3034" w:rsidRDefault="00664AFA" w:rsidP="00EC3034">
      <w:pPr>
        <w:pStyle w:val="Brdtext"/>
      </w:pPr>
      <w:r>
        <w:tab/>
      </w:r>
      <w:r>
        <w:tab/>
      </w:r>
    </w:p>
    <w:p w14:paraId="661B4D74" w14:textId="2042D10A" w:rsidR="00664AFA" w:rsidRDefault="00EC3034" w:rsidP="00EC3034">
      <w:pPr>
        <w:pStyle w:val="Brdtext"/>
        <w:ind w:left="720" w:firstLine="720"/>
      </w:pPr>
      <w:r>
        <w:t>[Andreas</w:t>
      </w:r>
      <w:r w:rsidR="00994302">
        <w:t xml:space="preserve"> Tillmar (</w:t>
      </w:r>
      <w:r w:rsidR="00994302" w:rsidRPr="00E6361C">
        <w:t>andreas.tillmar@rmv.se</w:t>
      </w:r>
      <w:r w:rsidR="00994302">
        <w:t xml:space="preserve">), Department of Forensic Genetics and Forensic Toxicology, National Board of Forensic Medicine, </w:t>
      </w:r>
      <w:proofErr w:type="spellStart"/>
      <w:r w:rsidR="00994302">
        <w:t>Artillerigatan</w:t>
      </w:r>
      <w:proofErr w:type="spellEnd"/>
      <w:r w:rsidR="00994302">
        <w:t xml:space="preserve"> 12, SE58758 Linköpin</w:t>
      </w:r>
      <w:bookmarkStart w:id="0" w:name="_GoBack"/>
      <w:bookmarkEnd w:id="0"/>
      <w:r w:rsidR="00994302">
        <w:t>g, Sweden</w:t>
      </w:r>
      <w:r w:rsidR="00D10444">
        <w:t>; +46104834143</w:t>
      </w:r>
      <w:r>
        <w:t>]</w:t>
      </w:r>
    </w:p>
    <w:p w14:paraId="4077361B" w14:textId="77777777" w:rsidR="00BB39AB" w:rsidRDefault="00BB39AB" w:rsidP="00664AFA">
      <w:pPr>
        <w:pStyle w:val="Brdtext"/>
      </w:pPr>
    </w:p>
    <w:p w14:paraId="386370EB" w14:textId="77777777" w:rsidR="00003320" w:rsidRDefault="00EC3034" w:rsidP="00003320">
      <w:pPr>
        <w:pStyle w:val="Brdtext"/>
        <w:ind w:firstLine="720"/>
      </w:pPr>
      <w:r>
        <w:rPr>
          <w:b/>
        </w:rPr>
        <w:t>Laboratory 2</w:t>
      </w:r>
      <w:r w:rsidR="007F53C8" w:rsidRPr="00664AFA">
        <w:rPr>
          <w:b/>
        </w:rPr>
        <w:t xml:space="preserve"> </w:t>
      </w:r>
      <w:r w:rsidR="00003320" w:rsidRPr="00664AFA">
        <w:rPr>
          <w:b/>
        </w:rPr>
        <w:t>Principal Point of Contact</w:t>
      </w:r>
      <w:r w:rsidR="00003320">
        <w:t>:</w:t>
      </w:r>
      <w:r w:rsidR="00BB39AB">
        <w:tab/>
      </w:r>
    </w:p>
    <w:p w14:paraId="59EFA94F" w14:textId="77777777" w:rsidR="00EC3034" w:rsidRDefault="00BB39AB" w:rsidP="00EC3034">
      <w:pPr>
        <w:pStyle w:val="Brdtext"/>
      </w:pPr>
      <w:r>
        <w:tab/>
      </w:r>
      <w:r>
        <w:tab/>
      </w:r>
    </w:p>
    <w:p w14:paraId="5A3F0F8B" w14:textId="77777777" w:rsidR="004E6B8C" w:rsidRDefault="00EC3034" w:rsidP="00EC3034">
      <w:pPr>
        <w:pStyle w:val="Brdtext"/>
        <w:ind w:left="720" w:firstLine="720"/>
      </w:pPr>
      <w:r>
        <w:t>[</w:t>
      </w:r>
      <w:r w:rsidRPr="00994302">
        <w:rPr>
          <w:highlight w:val="yellow"/>
        </w:rPr>
        <w:t>Name and address</w:t>
      </w:r>
      <w:r>
        <w:t>]</w:t>
      </w:r>
    </w:p>
    <w:p w14:paraId="40442B27" w14:textId="77777777" w:rsidR="00664AFA" w:rsidRDefault="00664AFA" w:rsidP="00664AFA">
      <w:pPr>
        <w:pStyle w:val="Brdtext"/>
      </w:pPr>
    </w:p>
    <w:p w14:paraId="123840FA" w14:textId="77777777" w:rsidR="00664AFA" w:rsidRDefault="00664AFA" w:rsidP="00664AFA">
      <w:pPr>
        <w:pStyle w:val="Brdtext"/>
      </w:pPr>
    </w:p>
    <w:p w14:paraId="13216714" w14:textId="77777777" w:rsidR="00664AFA" w:rsidRDefault="00664AFA" w:rsidP="00664AFA"/>
    <w:p w14:paraId="037C1CD9" w14:textId="77777777" w:rsidR="000974AE" w:rsidRDefault="000974AE" w:rsidP="000974AE">
      <w:r>
        <w:t xml:space="preserve">For </w:t>
      </w:r>
      <w:r w:rsidR="00EC3034">
        <w:rPr>
          <w:b/>
        </w:rPr>
        <w:t>Laboratory 1</w:t>
      </w:r>
      <w:r>
        <w:t>:</w:t>
      </w:r>
    </w:p>
    <w:p w14:paraId="4B6B553F" w14:textId="77777777" w:rsidR="000974AE" w:rsidRDefault="000974AE" w:rsidP="000974AE"/>
    <w:p w14:paraId="22DC7DE1" w14:textId="77777777" w:rsidR="000974AE" w:rsidRDefault="000974AE" w:rsidP="000974AE"/>
    <w:p w14:paraId="7FD5F062" w14:textId="77777777" w:rsidR="000974AE" w:rsidRDefault="000974AE" w:rsidP="000974AE"/>
    <w:p w14:paraId="4D73E306" w14:textId="77777777" w:rsidR="000974AE" w:rsidRDefault="000974AE" w:rsidP="000974AE">
      <w:pPr>
        <w:tabs>
          <w:tab w:val="left" w:pos="4320"/>
          <w:tab w:val="left" w:pos="5040"/>
        </w:tabs>
      </w:pPr>
      <w:r>
        <w:t xml:space="preserve">______________________/_______           </w:t>
      </w:r>
      <w:r>
        <w:tab/>
      </w:r>
    </w:p>
    <w:p w14:paraId="71D94E18" w14:textId="77777777" w:rsidR="00D3120E" w:rsidRDefault="00EC3034" w:rsidP="00D3120E">
      <w:r>
        <w:t>Signature</w:t>
      </w:r>
      <w:r>
        <w:tab/>
      </w:r>
      <w:r>
        <w:tab/>
      </w:r>
      <w:r w:rsidR="00D3120E">
        <w:t xml:space="preserve">           </w:t>
      </w:r>
      <w:r>
        <w:tab/>
      </w:r>
      <w:r w:rsidR="00D3120E">
        <w:t>DATE</w:t>
      </w:r>
      <w:r w:rsidR="00D3120E">
        <w:tab/>
      </w:r>
      <w:r w:rsidR="00D3120E">
        <w:tab/>
        <w:t xml:space="preserve">      </w:t>
      </w:r>
      <w:r w:rsidR="00D3120E">
        <w:tab/>
        <w:t xml:space="preserve">                </w:t>
      </w:r>
    </w:p>
    <w:p w14:paraId="3895E4A8" w14:textId="77777777" w:rsidR="000974AE" w:rsidRDefault="000974AE" w:rsidP="00664AFA">
      <w:pPr>
        <w:tabs>
          <w:tab w:val="left" w:pos="4320"/>
          <w:tab w:val="left" w:pos="5040"/>
        </w:tabs>
      </w:pPr>
    </w:p>
    <w:p w14:paraId="162C0B22" w14:textId="77777777" w:rsidR="00BD1B7E" w:rsidRDefault="00BD1B7E" w:rsidP="00BD1B7E"/>
    <w:p w14:paraId="32B3E474" w14:textId="400F32C3" w:rsidR="00BD1B7E" w:rsidRDefault="00BD1B7E" w:rsidP="00BD1B7E">
      <w:pPr>
        <w:tabs>
          <w:tab w:val="left" w:pos="4320"/>
          <w:tab w:val="left" w:pos="5040"/>
        </w:tabs>
      </w:pPr>
      <w:r>
        <w:t xml:space="preserve">____________________________           </w:t>
      </w:r>
      <w:r>
        <w:tab/>
      </w:r>
    </w:p>
    <w:p w14:paraId="3A500C75" w14:textId="7C571473" w:rsidR="00BD1B7E" w:rsidRDefault="00BD1B7E" w:rsidP="00BD1B7E">
      <w:r>
        <w:t xml:space="preserve">Name and position of institutional official </w:t>
      </w:r>
      <w:r>
        <w:tab/>
      </w:r>
      <w:r>
        <w:tab/>
      </w:r>
      <w:r>
        <w:tab/>
      </w:r>
      <w:r>
        <w:tab/>
        <w:t xml:space="preserve">      </w:t>
      </w:r>
      <w:r>
        <w:tab/>
        <w:t xml:space="preserve">                </w:t>
      </w:r>
    </w:p>
    <w:p w14:paraId="2BFAC7EF" w14:textId="77777777" w:rsidR="00BD1B7E" w:rsidRDefault="00BD1B7E" w:rsidP="00BD1B7E">
      <w:pPr>
        <w:tabs>
          <w:tab w:val="left" w:pos="4320"/>
          <w:tab w:val="left" w:pos="5040"/>
        </w:tabs>
      </w:pPr>
    </w:p>
    <w:p w14:paraId="6971D746" w14:textId="77777777" w:rsidR="000974AE" w:rsidRDefault="000974AE" w:rsidP="00664AFA">
      <w:pPr>
        <w:tabs>
          <w:tab w:val="left" w:pos="4320"/>
          <w:tab w:val="left" w:pos="5040"/>
        </w:tabs>
      </w:pPr>
    </w:p>
    <w:p w14:paraId="4F5C74E4" w14:textId="77777777" w:rsidR="000974AE" w:rsidRDefault="000974AE" w:rsidP="00664AFA">
      <w:pPr>
        <w:tabs>
          <w:tab w:val="left" w:pos="4320"/>
          <w:tab w:val="left" w:pos="5040"/>
        </w:tabs>
      </w:pPr>
    </w:p>
    <w:p w14:paraId="28FD2E37" w14:textId="77777777" w:rsidR="000974AE" w:rsidRDefault="000974AE" w:rsidP="00664AFA">
      <w:pPr>
        <w:tabs>
          <w:tab w:val="left" w:pos="4320"/>
          <w:tab w:val="left" w:pos="5040"/>
        </w:tabs>
      </w:pPr>
    </w:p>
    <w:p w14:paraId="13E2B03A" w14:textId="77777777" w:rsidR="000974AE" w:rsidRPr="00893892" w:rsidRDefault="000974AE" w:rsidP="00664AFA">
      <w:pPr>
        <w:tabs>
          <w:tab w:val="left" w:pos="4320"/>
          <w:tab w:val="left" w:pos="5040"/>
        </w:tabs>
        <w:rPr>
          <w:highlight w:val="yellow"/>
        </w:rPr>
      </w:pPr>
      <w:r w:rsidRPr="00893892">
        <w:rPr>
          <w:highlight w:val="yellow"/>
        </w:rPr>
        <w:t xml:space="preserve">For the </w:t>
      </w:r>
      <w:r w:rsidR="00EC3034" w:rsidRPr="00893892">
        <w:rPr>
          <w:b/>
          <w:highlight w:val="yellow"/>
        </w:rPr>
        <w:t>Laboratory 2</w:t>
      </w:r>
      <w:r w:rsidRPr="00893892">
        <w:rPr>
          <w:highlight w:val="yellow"/>
        </w:rPr>
        <w:t>:</w:t>
      </w:r>
    </w:p>
    <w:p w14:paraId="7A8F560B" w14:textId="77777777" w:rsidR="000974AE" w:rsidRPr="00893892" w:rsidRDefault="000974AE" w:rsidP="00664AFA">
      <w:pPr>
        <w:tabs>
          <w:tab w:val="left" w:pos="4320"/>
          <w:tab w:val="left" w:pos="5040"/>
        </w:tabs>
        <w:rPr>
          <w:highlight w:val="yellow"/>
        </w:rPr>
      </w:pPr>
    </w:p>
    <w:p w14:paraId="67E4CDF1" w14:textId="77777777" w:rsidR="000974AE" w:rsidRPr="00893892" w:rsidRDefault="000974AE" w:rsidP="00664AFA">
      <w:pPr>
        <w:tabs>
          <w:tab w:val="left" w:pos="4320"/>
          <w:tab w:val="left" w:pos="5040"/>
        </w:tabs>
        <w:rPr>
          <w:highlight w:val="yellow"/>
        </w:rPr>
      </w:pPr>
    </w:p>
    <w:p w14:paraId="4FBD90C2" w14:textId="77777777" w:rsidR="00664AFA" w:rsidRPr="00893892" w:rsidRDefault="00664AFA" w:rsidP="00664AFA">
      <w:pPr>
        <w:tabs>
          <w:tab w:val="left" w:pos="4320"/>
          <w:tab w:val="left" w:pos="5040"/>
        </w:tabs>
        <w:rPr>
          <w:highlight w:val="yellow"/>
        </w:rPr>
      </w:pPr>
      <w:r w:rsidRPr="00893892">
        <w:rPr>
          <w:highlight w:val="yellow"/>
        </w:rPr>
        <w:t>_____________________/_______</w:t>
      </w:r>
    </w:p>
    <w:p w14:paraId="36674622" w14:textId="77777777" w:rsidR="0082242A" w:rsidRPr="00893892" w:rsidRDefault="00EC3034">
      <w:pPr>
        <w:rPr>
          <w:highlight w:val="yellow"/>
        </w:rPr>
      </w:pPr>
      <w:r w:rsidRPr="00893892">
        <w:rPr>
          <w:highlight w:val="yellow"/>
        </w:rPr>
        <w:t>Signature</w:t>
      </w:r>
      <w:r w:rsidRPr="00893892">
        <w:rPr>
          <w:highlight w:val="yellow"/>
        </w:rPr>
        <w:tab/>
      </w:r>
      <w:r w:rsidRPr="00893892">
        <w:rPr>
          <w:highlight w:val="yellow"/>
        </w:rPr>
        <w:tab/>
      </w:r>
      <w:r w:rsidRPr="00893892">
        <w:rPr>
          <w:highlight w:val="yellow"/>
        </w:rPr>
        <w:tab/>
      </w:r>
      <w:r w:rsidR="002E3C80" w:rsidRPr="00893892">
        <w:rPr>
          <w:highlight w:val="yellow"/>
        </w:rPr>
        <w:t xml:space="preserve"> </w:t>
      </w:r>
      <w:r w:rsidR="00664AFA" w:rsidRPr="00893892">
        <w:rPr>
          <w:highlight w:val="yellow"/>
        </w:rPr>
        <w:t>DA</w:t>
      </w:r>
      <w:r w:rsidRPr="00893892">
        <w:rPr>
          <w:highlight w:val="yellow"/>
        </w:rPr>
        <w:t>TE</w:t>
      </w:r>
      <w:r w:rsidR="00664AFA" w:rsidRPr="00893892">
        <w:rPr>
          <w:highlight w:val="yellow"/>
        </w:rPr>
        <w:tab/>
      </w:r>
    </w:p>
    <w:p w14:paraId="3CBAF85C" w14:textId="77777777" w:rsidR="00BD1B7E" w:rsidRPr="00893892" w:rsidRDefault="00BD1B7E" w:rsidP="00BD1B7E">
      <w:pPr>
        <w:tabs>
          <w:tab w:val="left" w:pos="4320"/>
          <w:tab w:val="left" w:pos="5040"/>
        </w:tabs>
        <w:rPr>
          <w:highlight w:val="yellow"/>
        </w:rPr>
      </w:pPr>
    </w:p>
    <w:p w14:paraId="6BD6C141" w14:textId="77777777" w:rsidR="00BD1B7E" w:rsidRPr="00893892" w:rsidRDefault="00BD1B7E" w:rsidP="00BD1B7E">
      <w:pPr>
        <w:rPr>
          <w:highlight w:val="yellow"/>
        </w:rPr>
      </w:pPr>
    </w:p>
    <w:p w14:paraId="28C0C0AB" w14:textId="77777777" w:rsidR="00BD1B7E" w:rsidRPr="00893892" w:rsidRDefault="00BD1B7E" w:rsidP="00BD1B7E">
      <w:pPr>
        <w:tabs>
          <w:tab w:val="left" w:pos="4320"/>
          <w:tab w:val="left" w:pos="5040"/>
        </w:tabs>
        <w:rPr>
          <w:highlight w:val="yellow"/>
        </w:rPr>
      </w:pPr>
      <w:r w:rsidRPr="00893892">
        <w:rPr>
          <w:highlight w:val="yellow"/>
        </w:rPr>
        <w:t xml:space="preserve">____________________________           </w:t>
      </w:r>
      <w:r w:rsidRPr="00893892">
        <w:rPr>
          <w:highlight w:val="yellow"/>
        </w:rPr>
        <w:tab/>
      </w:r>
    </w:p>
    <w:p w14:paraId="73D7E6B7" w14:textId="05AC22E3" w:rsidR="00BD1B7E" w:rsidRDefault="00BD1B7E" w:rsidP="00BD1B7E">
      <w:r w:rsidRPr="00893892">
        <w:rPr>
          <w:highlight w:val="yellow"/>
        </w:rPr>
        <w:t>Name and position of institutional official</w:t>
      </w:r>
      <w:r>
        <w:t xml:space="preserve"> </w:t>
      </w:r>
      <w:r>
        <w:tab/>
      </w:r>
    </w:p>
    <w:sectPr w:rsidR="00BD1B7E" w:rsidSect="00A3254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C00CF"/>
    <w:multiLevelType w:val="hybridMultilevel"/>
    <w:tmpl w:val="B410669C"/>
    <w:lvl w:ilvl="0" w:tplc="CC6CFEF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2091A"/>
    <w:multiLevelType w:val="hybridMultilevel"/>
    <w:tmpl w:val="A64A0054"/>
    <w:lvl w:ilvl="0" w:tplc="1214D2E8">
      <w:start w:val="6"/>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BF6DCA"/>
    <w:multiLevelType w:val="hybridMultilevel"/>
    <w:tmpl w:val="B410669C"/>
    <w:lvl w:ilvl="0" w:tplc="CC6CFEF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A54FF"/>
    <w:multiLevelType w:val="hybridMultilevel"/>
    <w:tmpl w:val="0B58AE0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246530B"/>
    <w:multiLevelType w:val="hybridMultilevel"/>
    <w:tmpl w:val="3C5CEA9E"/>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6C025678"/>
    <w:multiLevelType w:val="hybridMultilevel"/>
    <w:tmpl w:val="E86E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FA"/>
    <w:rsid w:val="00003320"/>
    <w:rsid w:val="00007179"/>
    <w:rsid w:val="00025A5B"/>
    <w:rsid w:val="00034EB3"/>
    <w:rsid w:val="00046096"/>
    <w:rsid w:val="00051046"/>
    <w:rsid w:val="00056810"/>
    <w:rsid w:val="00062F18"/>
    <w:rsid w:val="000840C2"/>
    <w:rsid w:val="000974AE"/>
    <w:rsid w:val="000B423D"/>
    <w:rsid w:val="000E6078"/>
    <w:rsid w:val="000E6B6C"/>
    <w:rsid w:val="001016D2"/>
    <w:rsid w:val="00102A43"/>
    <w:rsid w:val="00107B35"/>
    <w:rsid w:val="00115081"/>
    <w:rsid w:val="00123D55"/>
    <w:rsid w:val="001414E9"/>
    <w:rsid w:val="0015566E"/>
    <w:rsid w:val="00171B17"/>
    <w:rsid w:val="00185A90"/>
    <w:rsid w:val="00193042"/>
    <w:rsid w:val="001B4A68"/>
    <w:rsid w:val="001C440D"/>
    <w:rsid w:val="001D2C76"/>
    <w:rsid w:val="001D7EC9"/>
    <w:rsid w:val="001E4205"/>
    <w:rsid w:val="001F1425"/>
    <w:rsid w:val="00202BAF"/>
    <w:rsid w:val="0021262C"/>
    <w:rsid w:val="0021264A"/>
    <w:rsid w:val="002127DA"/>
    <w:rsid w:val="00215691"/>
    <w:rsid w:val="002333A5"/>
    <w:rsid w:val="002474DC"/>
    <w:rsid w:val="00260F7E"/>
    <w:rsid w:val="002659D9"/>
    <w:rsid w:val="00265BFD"/>
    <w:rsid w:val="0027094B"/>
    <w:rsid w:val="0027289B"/>
    <w:rsid w:val="00275C90"/>
    <w:rsid w:val="00277ECC"/>
    <w:rsid w:val="002865CA"/>
    <w:rsid w:val="00296B22"/>
    <w:rsid w:val="002C034E"/>
    <w:rsid w:val="002D048C"/>
    <w:rsid w:val="002D10DD"/>
    <w:rsid w:val="002D59FB"/>
    <w:rsid w:val="002D7F57"/>
    <w:rsid w:val="002E3C80"/>
    <w:rsid w:val="002E5402"/>
    <w:rsid w:val="002F058F"/>
    <w:rsid w:val="002F5C96"/>
    <w:rsid w:val="00304C07"/>
    <w:rsid w:val="00322946"/>
    <w:rsid w:val="00325419"/>
    <w:rsid w:val="003257A1"/>
    <w:rsid w:val="00333C5B"/>
    <w:rsid w:val="00352D43"/>
    <w:rsid w:val="00353165"/>
    <w:rsid w:val="003551FB"/>
    <w:rsid w:val="0037390E"/>
    <w:rsid w:val="00374F15"/>
    <w:rsid w:val="003750B5"/>
    <w:rsid w:val="00377244"/>
    <w:rsid w:val="00387B6D"/>
    <w:rsid w:val="00391E5E"/>
    <w:rsid w:val="00397126"/>
    <w:rsid w:val="003A4586"/>
    <w:rsid w:val="003B313E"/>
    <w:rsid w:val="003B459F"/>
    <w:rsid w:val="003B56B5"/>
    <w:rsid w:val="003C66FF"/>
    <w:rsid w:val="003D619B"/>
    <w:rsid w:val="003E0E8B"/>
    <w:rsid w:val="00404593"/>
    <w:rsid w:val="00411F90"/>
    <w:rsid w:val="00434A3B"/>
    <w:rsid w:val="00441D5C"/>
    <w:rsid w:val="00467A2D"/>
    <w:rsid w:val="004705C7"/>
    <w:rsid w:val="00476E3C"/>
    <w:rsid w:val="00496EEF"/>
    <w:rsid w:val="004B0035"/>
    <w:rsid w:val="004B772D"/>
    <w:rsid w:val="004D4BF3"/>
    <w:rsid w:val="004E3C48"/>
    <w:rsid w:val="004E6B8C"/>
    <w:rsid w:val="004E768F"/>
    <w:rsid w:val="004F680F"/>
    <w:rsid w:val="00523CF1"/>
    <w:rsid w:val="005376A3"/>
    <w:rsid w:val="00540527"/>
    <w:rsid w:val="00547CDA"/>
    <w:rsid w:val="00552465"/>
    <w:rsid w:val="00553936"/>
    <w:rsid w:val="005542F6"/>
    <w:rsid w:val="00555C71"/>
    <w:rsid w:val="00556B44"/>
    <w:rsid w:val="00565F32"/>
    <w:rsid w:val="00575457"/>
    <w:rsid w:val="00593097"/>
    <w:rsid w:val="0059725C"/>
    <w:rsid w:val="005B7EBA"/>
    <w:rsid w:val="005C2358"/>
    <w:rsid w:val="005F21A9"/>
    <w:rsid w:val="005F2EB7"/>
    <w:rsid w:val="0060064B"/>
    <w:rsid w:val="00610F61"/>
    <w:rsid w:val="00615F4C"/>
    <w:rsid w:val="00617F6C"/>
    <w:rsid w:val="00625303"/>
    <w:rsid w:val="0065389C"/>
    <w:rsid w:val="00654671"/>
    <w:rsid w:val="00664AFA"/>
    <w:rsid w:val="00673520"/>
    <w:rsid w:val="00683E27"/>
    <w:rsid w:val="0068625C"/>
    <w:rsid w:val="00692E27"/>
    <w:rsid w:val="00696A2B"/>
    <w:rsid w:val="006B3EA7"/>
    <w:rsid w:val="006B590F"/>
    <w:rsid w:val="006B7445"/>
    <w:rsid w:val="006C38DC"/>
    <w:rsid w:val="006F52E6"/>
    <w:rsid w:val="00702313"/>
    <w:rsid w:val="0071160C"/>
    <w:rsid w:val="00714CE2"/>
    <w:rsid w:val="00730512"/>
    <w:rsid w:val="00736353"/>
    <w:rsid w:val="007468F1"/>
    <w:rsid w:val="00752D89"/>
    <w:rsid w:val="00755966"/>
    <w:rsid w:val="00757A8C"/>
    <w:rsid w:val="0076036D"/>
    <w:rsid w:val="007A1133"/>
    <w:rsid w:val="007A795A"/>
    <w:rsid w:val="007B2599"/>
    <w:rsid w:val="007B7DFF"/>
    <w:rsid w:val="007C0B39"/>
    <w:rsid w:val="007D315B"/>
    <w:rsid w:val="007E5D4F"/>
    <w:rsid w:val="007E7EF9"/>
    <w:rsid w:val="007E7FF5"/>
    <w:rsid w:val="007F0833"/>
    <w:rsid w:val="007F53C8"/>
    <w:rsid w:val="0082242A"/>
    <w:rsid w:val="00840F04"/>
    <w:rsid w:val="00843804"/>
    <w:rsid w:val="008558FB"/>
    <w:rsid w:val="0085782F"/>
    <w:rsid w:val="00862710"/>
    <w:rsid w:val="008658BA"/>
    <w:rsid w:val="00874B66"/>
    <w:rsid w:val="00885DDE"/>
    <w:rsid w:val="00892F87"/>
    <w:rsid w:val="00893892"/>
    <w:rsid w:val="008A563D"/>
    <w:rsid w:val="0090101C"/>
    <w:rsid w:val="0090154F"/>
    <w:rsid w:val="0090202F"/>
    <w:rsid w:val="00950D27"/>
    <w:rsid w:val="009536ED"/>
    <w:rsid w:val="00975F61"/>
    <w:rsid w:val="00976156"/>
    <w:rsid w:val="009857C5"/>
    <w:rsid w:val="00994302"/>
    <w:rsid w:val="009A3CA9"/>
    <w:rsid w:val="009E52D2"/>
    <w:rsid w:val="009E6433"/>
    <w:rsid w:val="009F35D2"/>
    <w:rsid w:val="009F69E3"/>
    <w:rsid w:val="00A015CE"/>
    <w:rsid w:val="00A14423"/>
    <w:rsid w:val="00A1644A"/>
    <w:rsid w:val="00A17C89"/>
    <w:rsid w:val="00A2235B"/>
    <w:rsid w:val="00A23B4C"/>
    <w:rsid w:val="00A2612A"/>
    <w:rsid w:val="00A3254D"/>
    <w:rsid w:val="00A37261"/>
    <w:rsid w:val="00A42FE8"/>
    <w:rsid w:val="00A61FEB"/>
    <w:rsid w:val="00A73C3A"/>
    <w:rsid w:val="00A903ED"/>
    <w:rsid w:val="00A956AB"/>
    <w:rsid w:val="00AA3F55"/>
    <w:rsid w:val="00AB7396"/>
    <w:rsid w:val="00AC3B77"/>
    <w:rsid w:val="00AC50DD"/>
    <w:rsid w:val="00AE1CAE"/>
    <w:rsid w:val="00AF2E97"/>
    <w:rsid w:val="00B01EA7"/>
    <w:rsid w:val="00B12262"/>
    <w:rsid w:val="00B16265"/>
    <w:rsid w:val="00B17E2C"/>
    <w:rsid w:val="00B44BFD"/>
    <w:rsid w:val="00B7582C"/>
    <w:rsid w:val="00B85CB3"/>
    <w:rsid w:val="00B92722"/>
    <w:rsid w:val="00BB39AB"/>
    <w:rsid w:val="00BB5C6B"/>
    <w:rsid w:val="00BD1B7E"/>
    <w:rsid w:val="00BD1D70"/>
    <w:rsid w:val="00BF5510"/>
    <w:rsid w:val="00C04A72"/>
    <w:rsid w:val="00C13E4B"/>
    <w:rsid w:val="00C323D2"/>
    <w:rsid w:val="00C35D7D"/>
    <w:rsid w:val="00C36C82"/>
    <w:rsid w:val="00C739D3"/>
    <w:rsid w:val="00C85A27"/>
    <w:rsid w:val="00CB3039"/>
    <w:rsid w:val="00CE1D6D"/>
    <w:rsid w:val="00CE5305"/>
    <w:rsid w:val="00D10444"/>
    <w:rsid w:val="00D13286"/>
    <w:rsid w:val="00D2589E"/>
    <w:rsid w:val="00D3120E"/>
    <w:rsid w:val="00D41E54"/>
    <w:rsid w:val="00D503D9"/>
    <w:rsid w:val="00D675C7"/>
    <w:rsid w:val="00D756A3"/>
    <w:rsid w:val="00DB655E"/>
    <w:rsid w:val="00DF1C75"/>
    <w:rsid w:val="00DF2855"/>
    <w:rsid w:val="00E03478"/>
    <w:rsid w:val="00E35D9B"/>
    <w:rsid w:val="00E428A2"/>
    <w:rsid w:val="00E43977"/>
    <w:rsid w:val="00E54E55"/>
    <w:rsid w:val="00E61EF8"/>
    <w:rsid w:val="00E62DF7"/>
    <w:rsid w:val="00E6361C"/>
    <w:rsid w:val="00E660C7"/>
    <w:rsid w:val="00E72168"/>
    <w:rsid w:val="00E85B77"/>
    <w:rsid w:val="00E941E5"/>
    <w:rsid w:val="00E95F17"/>
    <w:rsid w:val="00EB65A6"/>
    <w:rsid w:val="00EC3034"/>
    <w:rsid w:val="00EE110E"/>
    <w:rsid w:val="00EE7824"/>
    <w:rsid w:val="00EF445E"/>
    <w:rsid w:val="00EF7EAA"/>
    <w:rsid w:val="00F50A79"/>
    <w:rsid w:val="00F775B4"/>
    <w:rsid w:val="00F77788"/>
    <w:rsid w:val="00F84128"/>
    <w:rsid w:val="00F86836"/>
    <w:rsid w:val="00FA2C24"/>
    <w:rsid w:val="00FA5A48"/>
    <w:rsid w:val="00FB1214"/>
    <w:rsid w:val="00FC6C06"/>
    <w:rsid w:val="00FE3A55"/>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84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AFA"/>
    <w:pPr>
      <w:spacing w:after="0" w:line="240" w:lineRule="auto"/>
    </w:pPr>
    <w:rPr>
      <w:rFonts w:ascii="Times New Roman" w:eastAsia="Times New Roman" w:hAnsi="Times New Roman" w:cs="Times New Roman"/>
      <w:sz w:val="24"/>
      <w:szCs w:val="24"/>
    </w:rPr>
  </w:style>
  <w:style w:type="paragraph" w:styleId="Rubrik1">
    <w:name w:val="heading 1"/>
    <w:basedOn w:val="Normal"/>
    <w:next w:val="Normal"/>
    <w:link w:val="Rubrik1Char"/>
    <w:qFormat/>
    <w:rsid w:val="00664AFA"/>
    <w:pPr>
      <w:keepNext/>
      <w:jc w:val="center"/>
      <w:outlineLvl w:val="0"/>
    </w:pPr>
    <w:rPr>
      <w:b/>
      <w:bCs/>
      <w:szCs w:val="20"/>
    </w:rPr>
  </w:style>
  <w:style w:type="paragraph" w:styleId="Rubrik2">
    <w:name w:val="heading 2"/>
    <w:basedOn w:val="Normal"/>
    <w:next w:val="Normal"/>
    <w:link w:val="Rubrik2Char"/>
    <w:qFormat/>
    <w:rsid w:val="00664AFA"/>
    <w:pPr>
      <w:keepNext/>
      <w:jc w:val="center"/>
      <w:outlineLvl w:val="1"/>
    </w:pPr>
    <w:rPr>
      <w:b/>
      <w:bCs/>
      <w:sz w:val="28"/>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664AFA"/>
    <w:rPr>
      <w:rFonts w:ascii="Times New Roman" w:eastAsia="Times New Roman" w:hAnsi="Times New Roman" w:cs="Times New Roman"/>
      <w:b/>
      <w:bCs/>
      <w:sz w:val="24"/>
      <w:szCs w:val="20"/>
    </w:rPr>
  </w:style>
  <w:style w:type="character" w:customStyle="1" w:styleId="Rubrik2Char">
    <w:name w:val="Rubrik 2 Char"/>
    <w:basedOn w:val="Standardstycketeckensnitt"/>
    <w:link w:val="Rubrik2"/>
    <w:rsid w:val="00664AFA"/>
    <w:rPr>
      <w:rFonts w:ascii="Times New Roman" w:eastAsia="Times New Roman" w:hAnsi="Times New Roman" w:cs="Times New Roman"/>
      <w:b/>
      <w:bCs/>
      <w:sz w:val="28"/>
      <w:szCs w:val="20"/>
    </w:rPr>
  </w:style>
  <w:style w:type="paragraph" w:styleId="Brdtext">
    <w:name w:val="Body Text"/>
    <w:basedOn w:val="Normal"/>
    <w:link w:val="BrdtextChar"/>
    <w:semiHidden/>
    <w:rsid w:val="00664AFA"/>
    <w:rPr>
      <w:szCs w:val="20"/>
    </w:rPr>
  </w:style>
  <w:style w:type="character" w:customStyle="1" w:styleId="BrdtextChar">
    <w:name w:val="Brödtext Char"/>
    <w:basedOn w:val="Standardstycketeckensnitt"/>
    <w:link w:val="Brdtext"/>
    <w:semiHidden/>
    <w:rsid w:val="00664AFA"/>
    <w:rPr>
      <w:rFonts w:ascii="Times New Roman" w:eastAsia="Times New Roman" w:hAnsi="Times New Roman" w:cs="Times New Roman"/>
      <w:sz w:val="24"/>
      <w:szCs w:val="20"/>
    </w:rPr>
  </w:style>
  <w:style w:type="character" w:styleId="Kommentarsreferens">
    <w:name w:val="annotation reference"/>
    <w:basedOn w:val="Standardstycketeckensnitt"/>
    <w:uiPriority w:val="99"/>
    <w:semiHidden/>
    <w:unhideWhenUsed/>
    <w:rsid w:val="00664AFA"/>
    <w:rPr>
      <w:sz w:val="16"/>
      <w:szCs w:val="16"/>
    </w:rPr>
  </w:style>
  <w:style w:type="paragraph" w:styleId="Kommentarer">
    <w:name w:val="annotation text"/>
    <w:basedOn w:val="Normal"/>
    <w:link w:val="KommentarerChar"/>
    <w:uiPriority w:val="99"/>
    <w:semiHidden/>
    <w:unhideWhenUsed/>
    <w:rsid w:val="00664AFA"/>
    <w:rPr>
      <w:sz w:val="20"/>
      <w:szCs w:val="20"/>
    </w:rPr>
  </w:style>
  <w:style w:type="character" w:customStyle="1" w:styleId="KommentarerChar">
    <w:name w:val="Kommentarer Char"/>
    <w:basedOn w:val="Standardstycketeckensnitt"/>
    <w:link w:val="Kommentarer"/>
    <w:uiPriority w:val="99"/>
    <w:semiHidden/>
    <w:rsid w:val="00664AFA"/>
    <w:rPr>
      <w:rFonts w:ascii="Times New Roman" w:eastAsia="Times New Roman" w:hAnsi="Times New Roman" w:cs="Times New Roman"/>
      <w:sz w:val="20"/>
      <w:szCs w:val="20"/>
    </w:rPr>
  </w:style>
  <w:style w:type="paragraph" w:styleId="Liststycke">
    <w:name w:val="List Paragraph"/>
    <w:basedOn w:val="Normal"/>
    <w:uiPriority w:val="34"/>
    <w:qFormat/>
    <w:rsid w:val="00664AFA"/>
    <w:pPr>
      <w:ind w:left="720"/>
      <w:contextualSpacing/>
    </w:pPr>
  </w:style>
  <w:style w:type="paragraph" w:styleId="Ballongtext">
    <w:name w:val="Balloon Text"/>
    <w:basedOn w:val="Normal"/>
    <w:link w:val="BallongtextChar"/>
    <w:uiPriority w:val="99"/>
    <w:semiHidden/>
    <w:unhideWhenUsed/>
    <w:rsid w:val="00664AFA"/>
    <w:rPr>
      <w:rFonts w:ascii="Tahoma" w:hAnsi="Tahoma" w:cs="Tahoma"/>
      <w:sz w:val="16"/>
      <w:szCs w:val="16"/>
    </w:rPr>
  </w:style>
  <w:style w:type="character" w:customStyle="1" w:styleId="BallongtextChar">
    <w:name w:val="Ballongtext Char"/>
    <w:basedOn w:val="Standardstycketeckensnitt"/>
    <w:link w:val="Ballongtext"/>
    <w:uiPriority w:val="99"/>
    <w:semiHidden/>
    <w:rsid w:val="00664AFA"/>
    <w:rPr>
      <w:rFonts w:ascii="Tahoma" w:eastAsia="Times New Roman" w:hAnsi="Tahoma" w:cs="Tahoma"/>
      <w:sz w:val="16"/>
      <w:szCs w:val="16"/>
    </w:rPr>
  </w:style>
  <w:style w:type="paragraph" w:styleId="Kommentarsmne">
    <w:name w:val="annotation subject"/>
    <w:basedOn w:val="Kommentarer"/>
    <w:next w:val="Kommentarer"/>
    <w:link w:val="KommentarsmneChar"/>
    <w:uiPriority w:val="99"/>
    <w:semiHidden/>
    <w:unhideWhenUsed/>
    <w:rsid w:val="00034EB3"/>
    <w:rPr>
      <w:b/>
      <w:bCs/>
    </w:rPr>
  </w:style>
  <w:style w:type="character" w:customStyle="1" w:styleId="KommentarsmneChar">
    <w:name w:val="Kommentarsämne Char"/>
    <w:basedOn w:val="KommentarerChar"/>
    <w:link w:val="Kommentarsmne"/>
    <w:uiPriority w:val="99"/>
    <w:semiHidden/>
    <w:rsid w:val="00034EB3"/>
    <w:rPr>
      <w:rFonts w:ascii="Times New Roman" w:eastAsia="Times New Roman" w:hAnsi="Times New Roman" w:cs="Times New Roman"/>
      <w:b/>
      <w:bCs/>
      <w:sz w:val="20"/>
      <w:szCs w:val="20"/>
    </w:rPr>
  </w:style>
  <w:style w:type="paragraph" w:styleId="Ingetavstnd">
    <w:name w:val="No Spacing"/>
    <w:uiPriority w:val="1"/>
    <w:qFormat/>
    <w:rsid w:val="001016D2"/>
    <w:pPr>
      <w:spacing w:after="0" w:line="240" w:lineRule="auto"/>
    </w:pPr>
    <w:rPr>
      <w:rFonts w:ascii="Times New Roman" w:eastAsia="Times New Roman" w:hAnsi="Times New Roman" w:cs="Times New Roman"/>
      <w:sz w:val="24"/>
      <w:szCs w:val="24"/>
    </w:rPr>
  </w:style>
  <w:style w:type="paragraph" w:customStyle="1" w:styleId="Default">
    <w:name w:val="Default"/>
    <w:rsid w:val="00683E27"/>
    <w:pPr>
      <w:autoSpaceDE w:val="0"/>
      <w:autoSpaceDN w:val="0"/>
      <w:adjustRightInd w:val="0"/>
      <w:spacing w:after="0" w:line="240" w:lineRule="auto"/>
    </w:pPr>
    <w:rPr>
      <w:rFonts w:ascii="Arial" w:hAnsi="Arial" w:cs="Arial"/>
      <w:color w:val="000000"/>
      <w:sz w:val="24"/>
      <w:szCs w:val="24"/>
    </w:rPr>
  </w:style>
  <w:style w:type="table" w:styleId="Tabellrutnt">
    <w:name w:val="Table Grid"/>
    <w:basedOn w:val="Normaltabell"/>
    <w:uiPriority w:val="59"/>
    <w:rsid w:val="00E62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02A43"/>
    <w:pPr>
      <w:spacing w:after="0"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unhideWhenUsed/>
    <w:rsid w:val="009943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8809">
      <w:bodyDiv w:val="1"/>
      <w:marLeft w:val="0"/>
      <w:marRight w:val="0"/>
      <w:marTop w:val="0"/>
      <w:marBottom w:val="0"/>
      <w:divBdr>
        <w:top w:val="none" w:sz="0" w:space="0" w:color="auto"/>
        <w:left w:val="none" w:sz="0" w:space="0" w:color="auto"/>
        <w:bottom w:val="none" w:sz="0" w:space="0" w:color="auto"/>
        <w:right w:val="none" w:sz="0" w:space="0" w:color="auto"/>
      </w:divBdr>
      <w:divsChild>
        <w:div w:id="422800986">
          <w:marLeft w:val="0"/>
          <w:marRight w:val="0"/>
          <w:marTop w:val="0"/>
          <w:marBottom w:val="0"/>
          <w:divBdr>
            <w:top w:val="none" w:sz="0" w:space="0" w:color="auto"/>
            <w:left w:val="none" w:sz="0" w:space="0" w:color="auto"/>
            <w:bottom w:val="none" w:sz="0" w:space="0" w:color="auto"/>
            <w:right w:val="none" w:sz="0" w:space="0" w:color="auto"/>
          </w:divBdr>
        </w:div>
        <w:div w:id="543952133">
          <w:marLeft w:val="0"/>
          <w:marRight w:val="0"/>
          <w:marTop w:val="0"/>
          <w:marBottom w:val="0"/>
          <w:divBdr>
            <w:top w:val="none" w:sz="0" w:space="0" w:color="auto"/>
            <w:left w:val="none" w:sz="0" w:space="0" w:color="auto"/>
            <w:bottom w:val="none" w:sz="0" w:space="0" w:color="auto"/>
            <w:right w:val="none" w:sz="0" w:space="0" w:color="auto"/>
          </w:divBdr>
        </w:div>
        <w:div w:id="295716978">
          <w:marLeft w:val="0"/>
          <w:marRight w:val="0"/>
          <w:marTop w:val="0"/>
          <w:marBottom w:val="0"/>
          <w:divBdr>
            <w:top w:val="none" w:sz="0" w:space="0" w:color="auto"/>
            <w:left w:val="none" w:sz="0" w:space="0" w:color="auto"/>
            <w:bottom w:val="none" w:sz="0" w:space="0" w:color="auto"/>
            <w:right w:val="none" w:sz="0" w:space="0" w:color="auto"/>
          </w:divBdr>
        </w:div>
        <w:div w:id="1276399892">
          <w:marLeft w:val="0"/>
          <w:marRight w:val="0"/>
          <w:marTop w:val="0"/>
          <w:marBottom w:val="0"/>
          <w:divBdr>
            <w:top w:val="none" w:sz="0" w:space="0" w:color="auto"/>
            <w:left w:val="none" w:sz="0" w:space="0" w:color="auto"/>
            <w:bottom w:val="none" w:sz="0" w:space="0" w:color="auto"/>
            <w:right w:val="none" w:sz="0" w:space="0" w:color="auto"/>
          </w:divBdr>
        </w:div>
        <w:div w:id="68041216">
          <w:marLeft w:val="0"/>
          <w:marRight w:val="0"/>
          <w:marTop w:val="0"/>
          <w:marBottom w:val="0"/>
          <w:divBdr>
            <w:top w:val="none" w:sz="0" w:space="0" w:color="auto"/>
            <w:left w:val="none" w:sz="0" w:space="0" w:color="auto"/>
            <w:bottom w:val="none" w:sz="0" w:space="0" w:color="auto"/>
            <w:right w:val="none" w:sz="0" w:space="0" w:color="auto"/>
          </w:divBdr>
        </w:div>
        <w:div w:id="846092729">
          <w:marLeft w:val="0"/>
          <w:marRight w:val="0"/>
          <w:marTop w:val="0"/>
          <w:marBottom w:val="0"/>
          <w:divBdr>
            <w:top w:val="none" w:sz="0" w:space="0" w:color="auto"/>
            <w:left w:val="none" w:sz="0" w:space="0" w:color="auto"/>
            <w:bottom w:val="none" w:sz="0" w:space="0" w:color="auto"/>
            <w:right w:val="none" w:sz="0" w:space="0" w:color="auto"/>
          </w:divBdr>
        </w:div>
        <w:div w:id="1130125788">
          <w:marLeft w:val="0"/>
          <w:marRight w:val="0"/>
          <w:marTop w:val="0"/>
          <w:marBottom w:val="0"/>
          <w:divBdr>
            <w:top w:val="none" w:sz="0" w:space="0" w:color="auto"/>
            <w:left w:val="none" w:sz="0" w:space="0" w:color="auto"/>
            <w:bottom w:val="none" w:sz="0" w:space="0" w:color="auto"/>
            <w:right w:val="none" w:sz="0" w:space="0" w:color="auto"/>
          </w:divBdr>
        </w:div>
        <w:div w:id="1596358529">
          <w:marLeft w:val="0"/>
          <w:marRight w:val="0"/>
          <w:marTop w:val="0"/>
          <w:marBottom w:val="0"/>
          <w:divBdr>
            <w:top w:val="none" w:sz="0" w:space="0" w:color="auto"/>
            <w:left w:val="none" w:sz="0" w:space="0" w:color="auto"/>
            <w:bottom w:val="none" w:sz="0" w:space="0" w:color="auto"/>
            <w:right w:val="none" w:sz="0" w:space="0" w:color="auto"/>
          </w:divBdr>
        </w:div>
        <w:div w:id="875582456">
          <w:marLeft w:val="0"/>
          <w:marRight w:val="0"/>
          <w:marTop w:val="0"/>
          <w:marBottom w:val="0"/>
          <w:divBdr>
            <w:top w:val="none" w:sz="0" w:space="0" w:color="auto"/>
            <w:left w:val="none" w:sz="0" w:space="0" w:color="auto"/>
            <w:bottom w:val="none" w:sz="0" w:space="0" w:color="auto"/>
            <w:right w:val="none" w:sz="0" w:space="0" w:color="auto"/>
          </w:divBdr>
        </w:div>
        <w:div w:id="1887715600">
          <w:marLeft w:val="0"/>
          <w:marRight w:val="0"/>
          <w:marTop w:val="0"/>
          <w:marBottom w:val="0"/>
          <w:divBdr>
            <w:top w:val="none" w:sz="0" w:space="0" w:color="auto"/>
            <w:left w:val="none" w:sz="0" w:space="0" w:color="auto"/>
            <w:bottom w:val="none" w:sz="0" w:space="0" w:color="auto"/>
            <w:right w:val="none" w:sz="0" w:space="0" w:color="auto"/>
          </w:divBdr>
        </w:div>
        <w:div w:id="357433601">
          <w:marLeft w:val="0"/>
          <w:marRight w:val="0"/>
          <w:marTop w:val="0"/>
          <w:marBottom w:val="0"/>
          <w:divBdr>
            <w:top w:val="none" w:sz="0" w:space="0" w:color="auto"/>
            <w:left w:val="none" w:sz="0" w:space="0" w:color="auto"/>
            <w:bottom w:val="none" w:sz="0" w:space="0" w:color="auto"/>
            <w:right w:val="none" w:sz="0" w:space="0" w:color="auto"/>
          </w:divBdr>
        </w:div>
      </w:divsChild>
    </w:div>
    <w:div w:id="310644599">
      <w:bodyDiv w:val="1"/>
      <w:marLeft w:val="0"/>
      <w:marRight w:val="0"/>
      <w:marTop w:val="0"/>
      <w:marBottom w:val="0"/>
      <w:divBdr>
        <w:top w:val="none" w:sz="0" w:space="0" w:color="auto"/>
        <w:left w:val="none" w:sz="0" w:space="0" w:color="auto"/>
        <w:bottom w:val="none" w:sz="0" w:space="0" w:color="auto"/>
        <w:right w:val="none" w:sz="0" w:space="0" w:color="auto"/>
      </w:divBdr>
      <w:divsChild>
        <w:div w:id="314840600">
          <w:marLeft w:val="1800"/>
          <w:marRight w:val="0"/>
          <w:marTop w:val="115"/>
          <w:marBottom w:val="0"/>
          <w:divBdr>
            <w:top w:val="none" w:sz="0" w:space="0" w:color="auto"/>
            <w:left w:val="none" w:sz="0" w:space="0" w:color="auto"/>
            <w:bottom w:val="none" w:sz="0" w:space="0" w:color="auto"/>
            <w:right w:val="none" w:sz="0" w:space="0" w:color="auto"/>
          </w:divBdr>
        </w:div>
      </w:divsChild>
    </w:div>
    <w:div w:id="1242980354">
      <w:bodyDiv w:val="1"/>
      <w:marLeft w:val="0"/>
      <w:marRight w:val="0"/>
      <w:marTop w:val="0"/>
      <w:marBottom w:val="0"/>
      <w:divBdr>
        <w:top w:val="none" w:sz="0" w:space="0" w:color="auto"/>
        <w:left w:val="none" w:sz="0" w:space="0" w:color="auto"/>
        <w:bottom w:val="none" w:sz="0" w:space="0" w:color="auto"/>
        <w:right w:val="none" w:sz="0" w:space="0" w:color="auto"/>
      </w:divBdr>
      <w:divsChild>
        <w:div w:id="865674055">
          <w:marLeft w:val="0"/>
          <w:marRight w:val="0"/>
          <w:marTop w:val="0"/>
          <w:marBottom w:val="0"/>
          <w:divBdr>
            <w:top w:val="none" w:sz="0" w:space="0" w:color="auto"/>
            <w:left w:val="none" w:sz="0" w:space="0" w:color="auto"/>
            <w:bottom w:val="none" w:sz="0" w:space="0" w:color="auto"/>
            <w:right w:val="none" w:sz="0" w:space="0" w:color="auto"/>
          </w:divBdr>
        </w:div>
        <w:div w:id="1887062770">
          <w:marLeft w:val="0"/>
          <w:marRight w:val="0"/>
          <w:marTop w:val="0"/>
          <w:marBottom w:val="0"/>
          <w:divBdr>
            <w:top w:val="none" w:sz="0" w:space="0" w:color="auto"/>
            <w:left w:val="none" w:sz="0" w:space="0" w:color="auto"/>
            <w:bottom w:val="none" w:sz="0" w:space="0" w:color="auto"/>
            <w:right w:val="none" w:sz="0" w:space="0" w:color="auto"/>
          </w:divBdr>
        </w:div>
        <w:div w:id="1334458735">
          <w:marLeft w:val="0"/>
          <w:marRight w:val="0"/>
          <w:marTop w:val="0"/>
          <w:marBottom w:val="0"/>
          <w:divBdr>
            <w:top w:val="none" w:sz="0" w:space="0" w:color="auto"/>
            <w:left w:val="none" w:sz="0" w:space="0" w:color="auto"/>
            <w:bottom w:val="none" w:sz="0" w:space="0" w:color="auto"/>
            <w:right w:val="none" w:sz="0" w:space="0" w:color="auto"/>
          </w:divBdr>
        </w:div>
        <w:div w:id="1705599176">
          <w:marLeft w:val="0"/>
          <w:marRight w:val="0"/>
          <w:marTop w:val="0"/>
          <w:marBottom w:val="0"/>
          <w:divBdr>
            <w:top w:val="none" w:sz="0" w:space="0" w:color="auto"/>
            <w:left w:val="none" w:sz="0" w:space="0" w:color="auto"/>
            <w:bottom w:val="none" w:sz="0" w:space="0" w:color="auto"/>
            <w:right w:val="none" w:sz="0" w:space="0" w:color="auto"/>
          </w:divBdr>
        </w:div>
        <w:div w:id="1965694453">
          <w:marLeft w:val="0"/>
          <w:marRight w:val="0"/>
          <w:marTop w:val="0"/>
          <w:marBottom w:val="0"/>
          <w:divBdr>
            <w:top w:val="none" w:sz="0" w:space="0" w:color="auto"/>
            <w:left w:val="none" w:sz="0" w:space="0" w:color="auto"/>
            <w:bottom w:val="none" w:sz="0" w:space="0" w:color="auto"/>
            <w:right w:val="none" w:sz="0" w:space="0" w:color="auto"/>
          </w:divBdr>
        </w:div>
        <w:div w:id="1114440814">
          <w:marLeft w:val="0"/>
          <w:marRight w:val="0"/>
          <w:marTop w:val="0"/>
          <w:marBottom w:val="0"/>
          <w:divBdr>
            <w:top w:val="none" w:sz="0" w:space="0" w:color="auto"/>
            <w:left w:val="none" w:sz="0" w:space="0" w:color="auto"/>
            <w:bottom w:val="none" w:sz="0" w:space="0" w:color="auto"/>
            <w:right w:val="none" w:sz="0" w:space="0" w:color="auto"/>
          </w:divBdr>
        </w:div>
        <w:div w:id="1916086166">
          <w:marLeft w:val="0"/>
          <w:marRight w:val="0"/>
          <w:marTop w:val="0"/>
          <w:marBottom w:val="0"/>
          <w:divBdr>
            <w:top w:val="none" w:sz="0" w:space="0" w:color="auto"/>
            <w:left w:val="none" w:sz="0" w:space="0" w:color="auto"/>
            <w:bottom w:val="none" w:sz="0" w:space="0" w:color="auto"/>
            <w:right w:val="none" w:sz="0" w:space="0" w:color="auto"/>
          </w:divBdr>
        </w:div>
        <w:div w:id="900019583">
          <w:marLeft w:val="0"/>
          <w:marRight w:val="0"/>
          <w:marTop w:val="0"/>
          <w:marBottom w:val="0"/>
          <w:divBdr>
            <w:top w:val="none" w:sz="0" w:space="0" w:color="auto"/>
            <w:left w:val="none" w:sz="0" w:space="0" w:color="auto"/>
            <w:bottom w:val="none" w:sz="0" w:space="0" w:color="auto"/>
            <w:right w:val="none" w:sz="0" w:space="0" w:color="auto"/>
          </w:divBdr>
        </w:div>
        <w:div w:id="1502163929">
          <w:marLeft w:val="0"/>
          <w:marRight w:val="0"/>
          <w:marTop w:val="0"/>
          <w:marBottom w:val="0"/>
          <w:divBdr>
            <w:top w:val="none" w:sz="0" w:space="0" w:color="auto"/>
            <w:left w:val="none" w:sz="0" w:space="0" w:color="auto"/>
            <w:bottom w:val="none" w:sz="0" w:space="0" w:color="auto"/>
            <w:right w:val="none" w:sz="0" w:space="0" w:color="auto"/>
          </w:divBdr>
        </w:div>
        <w:div w:id="299308496">
          <w:marLeft w:val="0"/>
          <w:marRight w:val="0"/>
          <w:marTop w:val="0"/>
          <w:marBottom w:val="0"/>
          <w:divBdr>
            <w:top w:val="none" w:sz="0" w:space="0" w:color="auto"/>
            <w:left w:val="none" w:sz="0" w:space="0" w:color="auto"/>
            <w:bottom w:val="none" w:sz="0" w:space="0" w:color="auto"/>
            <w:right w:val="none" w:sz="0" w:space="0" w:color="auto"/>
          </w:divBdr>
        </w:div>
        <w:div w:id="1786734084">
          <w:marLeft w:val="0"/>
          <w:marRight w:val="0"/>
          <w:marTop w:val="0"/>
          <w:marBottom w:val="0"/>
          <w:divBdr>
            <w:top w:val="none" w:sz="0" w:space="0" w:color="auto"/>
            <w:left w:val="none" w:sz="0" w:space="0" w:color="auto"/>
            <w:bottom w:val="none" w:sz="0" w:space="0" w:color="auto"/>
            <w:right w:val="none" w:sz="0" w:space="0" w:color="auto"/>
          </w:divBdr>
        </w:div>
        <w:div w:id="1219777305">
          <w:marLeft w:val="0"/>
          <w:marRight w:val="0"/>
          <w:marTop w:val="0"/>
          <w:marBottom w:val="0"/>
          <w:divBdr>
            <w:top w:val="none" w:sz="0" w:space="0" w:color="auto"/>
            <w:left w:val="none" w:sz="0" w:space="0" w:color="auto"/>
            <w:bottom w:val="none" w:sz="0" w:space="0" w:color="auto"/>
            <w:right w:val="none" w:sz="0" w:space="0" w:color="auto"/>
          </w:divBdr>
        </w:div>
        <w:div w:id="301469001">
          <w:marLeft w:val="0"/>
          <w:marRight w:val="0"/>
          <w:marTop w:val="0"/>
          <w:marBottom w:val="0"/>
          <w:divBdr>
            <w:top w:val="none" w:sz="0" w:space="0" w:color="auto"/>
            <w:left w:val="none" w:sz="0" w:space="0" w:color="auto"/>
            <w:bottom w:val="none" w:sz="0" w:space="0" w:color="auto"/>
            <w:right w:val="none" w:sz="0" w:space="0" w:color="auto"/>
          </w:divBdr>
        </w:div>
        <w:div w:id="1216039069">
          <w:marLeft w:val="0"/>
          <w:marRight w:val="0"/>
          <w:marTop w:val="0"/>
          <w:marBottom w:val="0"/>
          <w:divBdr>
            <w:top w:val="none" w:sz="0" w:space="0" w:color="auto"/>
            <w:left w:val="none" w:sz="0" w:space="0" w:color="auto"/>
            <w:bottom w:val="none" w:sz="0" w:space="0" w:color="auto"/>
            <w:right w:val="none" w:sz="0" w:space="0" w:color="auto"/>
          </w:divBdr>
        </w:div>
        <w:div w:id="1476022689">
          <w:marLeft w:val="0"/>
          <w:marRight w:val="0"/>
          <w:marTop w:val="0"/>
          <w:marBottom w:val="0"/>
          <w:divBdr>
            <w:top w:val="none" w:sz="0" w:space="0" w:color="auto"/>
            <w:left w:val="none" w:sz="0" w:space="0" w:color="auto"/>
            <w:bottom w:val="none" w:sz="0" w:space="0" w:color="auto"/>
            <w:right w:val="none" w:sz="0" w:space="0" w:color="auto"/>
          </w:divBdr>
        </w:div>
        <w:div w:id="1046757241">
          <w:marLeft w:val="0"/>
          <w:marRight w:val="0"/>
          <w:marTop w:val="0"/>
          <w:marBottom w:val="0"/>
          <w:divBdr>
            <w:top w:val="none" w:sz="0" w:space="0" w:color="auto"/>
            <w:left w:val="none" w:sz="0" w:space="0" w:color="auto"/>
            <w:bottom w:val="none" w:sz="0" w:space="0" w:color="auto"/>
            <w:right w:val="none" w:sz="0" w:space="0" w:color="auto"/>
          </w:divBdr>
        </w:div>
        <w:div w:id="447628865">
          <w:marLeft w:val="0"/>
          <w:marRight w:val="0"/>
          <w:marTop w:val="0"/>
          <w:marBottom w:val="0"/>
          <w:divBdr>
            <w:top w:val="none" w:sz="0" w:space="0" w:color="auto"/>
            <w:left w:val="none" w:sz="0" w:space="0" w:color="auto"/>
            <w:bottom w:val="none" w:sz="0" w:space="0" w:color="auto"/>
            <w:right w:val="none" w:sz="0" w:space="0" w:color="auto"/>
          </w:divBdr>
        </w:div>
        <w:div w:id="1128356422">
          <w:marLeft w:val="0"/>
          <w:marRight w:val="0"/>
          <w:marTop w:val="0"/>
          <w:marBottom w:val="0"/>
          <w:divBdr>
            <w:top w:val="none" w:sz="0" w:space="0" w:color="auto"/>
            <w:left w:val="none" w:sz="0" w:space="0" w:color="auto"/>
            <w:bottom w:val="none" w:sz="0" w:space="0" w:color="auto"/>
            <w:right w:val="none" w:sz="0" w:space="0" w:color="auto"/>
          </w:divBdr>
        </w:div>
      </w:divsChild>
    </w:div>
    <w:div w:id="133996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ADC02-8176-467A-81A5-499A8824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4B330B0A</Template>
  <TotalTime>50</TotalTime>
  <Pages>5</Pages>
  <Words>1335</Words>
  <Characters>7077</Characters>
  <Application>Microsoft Office Word</Application>
  <DocSecurity>0</DocSecurity>
  <Lines>58</Lines>
  <Paragraphs>16</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FBI</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PWulff</dc:creator>
  <cp:keywords/>
  <dc:description/>
  <cp:lastModifiedBy>ranti</cp:lastModifiedBy>
  <cp:revision>23</cp:revision>
  <cp:lastPrinted>2022-04-04T11:01:00Z</cp:lastPrinted>
  <dcterms:created xsi:type="dcterms:W3CDTF">2021-11-22T12:14:00Z</dcterms:created>
  <dcterms:modified xsi:type="dcterms:W3CDTF">2022-04-04T12:27:00Z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