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The neo4j.conf file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2D3748"/>
          <w:sz w:val="20"/>
        </w:rPr>
      </w:pPr>
      <w:r w:rsidRPr="004856DF">
        <w:rPr>
          <w:rFonts w:ascii="Verdana" w:hAnsi="Verdana"/>
          <w:color w:val="2D3748"/>
          <w:sz w:val="20"/>
        </w:rPr>
        <w:t>The main source of configuration settings</w:t>
      </w:r>
    </w:p>
    <w:p w:rsidR="004A4CF3" w:rsidRPr="004856DF" w:rsidRDefault="00D01D27" w:rsidP="004856DF">
      <w:pPr>
        <w:pStyle w:val="Heading2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JVM-specific configuration settings</w:t>
      </w:r>
    </w:p>
    <w:p w:rsidR="004A4CF3" w:rsidRPr="004856DF" w:rsidRDefault="00F62293" w:rsidP="004856DF">
      <w:pPr>
        <w:pStyle w:val="Textbody"/>
        <w:spacing w:after="0" w:line="360" w:lineRule="auto"/>
        <w:rPr>
          <w:rFonts w:ascii="Verdana" w:hAnsi="Verdana"/>
          <w:sz w:val="22"/>
        </w:rPr>
      </w:pPr>
      <w:hyperlink r:id="rId7" w:anchor="config_dbms.memory.heap.initial_size" w:history="1">
        <w:r w:rsidR="00D01D27" w:rsidRPr="004856DF">
          <w:rPr>
            <w:rStyle w:val="SourceText"/>
            <w:rFonts w:ascii="Verdana" w:hAnsi="Verdana"/>
            <w:b/>
            <w:color w:val="3182CE"/>
            <w:sz w:val="22"/>
            <w:shd w:val="clear" w:color="auto" w:fill="F7FAFC"/>
          </w:rPr>
          <w:t>dbms.memory.heap.initial_size</w:t>
        </w:r>
      </w:hyperlink>
    </w:p>
    <w:p w:rsidR="004A4CF3" w:rsidRPr="004856DF" w:rsidRDefault="00D01D27" w:rsidP="004856DF">
      <w:pPr>
        <w:pStyle w:val="Textbody"/>
        <w:spacing w:after="0"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Sets the initial heap size for the JVM. By default, the JVM heap size is calculated based on the available system resources.</w:t>
      </w:r>
    </w:p>
    <w:p w:rsidR="006B12F9" w:rsidRPr="004856DF" w:rsidRDefault="006B12F9" w:rsidP="004856DF">
      <w:pPr>
        <w:pStyle w:val="Textbody"/>
        <w:spacing w:after="0" w:line="360" w:lineRule="auto"/>
        <w:rPr>
          <w:rStyle w:val="SourceText"/>
          <w:rFonts w:ascii="Verdana" w:hAnsi="Verdana"/>
          <w:b/>
          <w:color w:val="3182CE"/>
          <w:sz w:val="22"/>
          <w:shd w:val="clear" w:color="auto" w:fill="F7FAFC"/>
        </w:rPr>
      </w:pPr>
    </w:p>
    <w:p w:rsidR="004A4CF3" w:rsidRPr="004856DF" w:rsidRDefault="00F62293" w:rsidP="004856DF">
      <w:pPr>
        <w:pStyle w:val="Textbody"/>
        <w:spacing w:after="0" w:line="360" w:lineRule="auto"/>
        <w:rPr>
          <w:rFonts w:ascii="Verdana" w:hAnsi="Verdana"/>
          <w:sz w:val="22"/>
        </w:rPr>
      </w:pPr>
      <w:hyperlink r:id="rId8" w:anchor="config_dbms.memory.heap.max_size" w:history="1">
        <w:r w:rsidR="00D01D27" w:rsidRPr="004856DF">
          <w:rPr>
            <w:rStyle w:val="SourceText"/>
            <w:rFonts w:ascii="Verdana" w:hAnsi="Verdana"/>
            <w:b/>
            <w:color w:val="3182CE"/>
            <w:sz w:val="22"/>
            <w:shd w:val="clear" w:color="auto" w:fill="F7FAFC"/>
          </w:rPr>
          <w:t>dbms.memory.heap.max_size</w:t>
        </w:r>
      </w:hyperlink>
    </w:p>
    <w:p w:rsidR="004A4CF3" w:rsidRPr="004856DF" w:rsidRDefault="00D01D27" w:rsidP="004856DF">
      <w:pPr>
        <w:pStyle w:val="Textbody"/>
        <w:spacing w:after="0"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Sets the maximum size of the heap for the JVM. By default, the maximum JVM heap size is calculated based on the available system resources.</w:t>
      </w:r>
    </w:p>
    <w:p w:rsidR="006B12F9" w:rsidRPr="004856DF" w:rsidRDefault="006B12F9" w:rsidP="004856DF">
      <w:pPr>
        <w:pStyle w:val="Textbody"/>
        <w:spacing w:after="0" w:line="360" w:lineRule="auto"/>
        <w:rPr>
          <w:rStyle w:val="SourceText"/>
          <w:rFonts w:ascii="Verdana" w:hAnsi="Verdana"/>
          <w:b/>
          <w:color w:val="3182CE"/>
          <w:sz w:val="22"/>
          <w:shd w:val="clear" w:color="auto" w:fill="F7FAFC"/>
        </w:rPr>
      </w:pPr>
    </w:p>
    <w:p w:rsidR="004A4CF3" w:rsidRPr="004856DF" w:rsidRDefault="00F62293" w:rsidP="004856DF">
      <w:pPr>
        <w:pStyle w:val="Textbody"/>
        <w:spacing w:after="0" w:line="360" w:lineRule="auto"/>
        <w:rPr>
          <w:rFonts w:ascii="Verdana" w:hAnsi="Verdana"/>
          <w:sz w:val="22"/>
        </w:rPr>
      </w:pPr>
      <w:hyperlink r:id="rId9" w:anchor="config_dbms.jvm.additional" w:history="1">
        <w:r w:rsidR="00D01D27" w:rsidRPr="004856DF">
          <w:rPr>
            <w:rStyle w:val="SourceText"/>
            <w:rFonts w:ascii="Verdana" w:hAnsi="Verdana"/>
            <w:b/>
            <w:color w:val="3182CE"/>
            <w:sz w:val="22"/>
            <w:shd w:val="clear" w:color="auto" w:fill="F7FAFC"/>
          </w:rPr>
          <w:t>dbms.jvm.additional</w:t>
        </w:r>
      </w:hyperlink>
    </w:p>
    <w:p w:rsidR="004A4CF3" w:rsidRPr="004856DF" w:rsidRDefault="00D01D27" w:rsidP="004856DF">
      <w:pPr>
        <w:pStyle w:val="Textbody"/>
        <w:spacing w:after="0"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Sets additional options for the JVM. The options are set as a string and can vary depending on JVM implementation.</w:t>
      </w:r>
    </w:p>
    <w:p w:rsidR="004A4CF3" w:rsidRPr="004856DF" w:rsidRDefault="00D01D27" w:rsidP="004856DF">
      <w:pPr>
        <w:pStyle w:val="Heading2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br/>
        <w:t>List currently active settings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CALL dbms.listConfig()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YIELD name, value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WHERE name STARTS WITH 'dbms.default'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RETURN name, value</w:t>
      </w:r>
    </w:p>
    <w:p w:rsidR="006B12F9" w:rsidRPr="008F53E9" w:rsidRDefault="00D01D27" w:rsidP="008F53E9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ORDER BY name</w:t>
      </w:r>
      <w:r w:rsidR="008F53E9">
        <w:rPr>
          <w:rFonts w:ascii="Verdana" w:hAnsi="Verdana"/>
          <w:color w:val="7030A0"/>
          <w:sz w:val="22"/>
        </w:rPr>
        <w:t>;</w:t>
      </w:r>
      <w:r w:rsidR="006B12F9" w:rsidRPr="004856DF">
        <w:rPr>
          <w:rFonts w:ascii="Verdana" w:hAnsi="Verdana"/>
          <w:sz w:val="22"/>
        </w:rPr>
        <w:br w:type="page"/>
      </w:r>
    </w:p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lastRenderedPageBreak/>
        <w:t>File locations</w:t>
      </w:r>
    </w:p>
    <w:p w:rsidR="004A4CF3" w:rsidRPr="004856DF" w:rsidRDefault="00D01D27" w:rsidP="004856DF">
      <w:pPr>
        <w:pStyle w:val="Heading3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Default file locations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515"/>
        <w:gridCol w:w="8100"/>
      </w:tblGrid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/usr/bin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 xml:space="preserve">Running script </w:t>
            </w:r>
            <w:r w:rsidR="00285D74" w:rsidRPr="004856DF">
              <w:rPr>
                <w:rFonts w:ascii="Verdana" w:hAnsi="Verdana"/>
                <w:sz w:val="20"/>
                <w:szCs w:val="20"/>
              </w:rPr>
              <w:t>&amp;</w:t>
            </w:r>
            <w:r w:rsidRPr="004856DF">
              <w:rPr>
                <w:rFonts w:ascii="Verdana" w:hAnsi="Verdana"/>
                <w:sz w:val="20"/>
                <w:szCs w:val="20"/>
              </w:rPr>
              <w:t xml:space="preserve"> built-in tools, such as, cypher-shell </w:t>
            </w:r>
            <w:r w:rsidR="00285D74" w:rsidRPr="004856DF">
              <w:rPr>
                <w:rFonts w:ascii="Verdana" w:hAnsi="Verdana"/>
                <w:sz w:val="20"/>
                <w:szCs w:val="20"/>
              </w:rPr>
              <w:t>&amp;</w:t>
            </w:r>
            <w:r w:rsidRPr="004856DF">
              <w:rPr>
                <w:rFonts w:ascii="Verdana" w:hAnsi="Verdana"/>
                <w:sz w:val="20"/>
                <w:szCs w:val="20"/>
              </w:rPr>
              <w:t xml:space="preserve"> neo4j-admin.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/etc/neo4j/neo4j.conf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The Neo4j configuration settings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/var/lib/neo4j/data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 xml:space="preserve">All data-related content, such as, databases, transactions, cluster 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/var/lib/neo4j/import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All CSV files that the command LOAD CSV uses as sources to import data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/usr/share/neo4j/labs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Contains APOC Core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/usr/share/neo4j/lib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All Neo4j dependencies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/var/log/neo4j/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The Neo4j log files</w:t>
            </w:r>
          </w:p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journalctl --unit=neo4j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/var/lib/neo4j/metrics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The Neo4j built-in metrics for monitoring database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/var/lib/neo4j/plugins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Custom code that extends Neo4j</w:t>
            </w:r>
          </w:p>
        </w:tc>
      </w:tr>
      <w:tr w:rsidR="006B12F9" w:rsidRPr="004856DF" w:rsidTr="006B12F9">
        <w:tc>
          <w:tcPr>
            <w:tcW w:w="2515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/var/lib/neo4j/run</w:t>
            </w:r>
          </w:p>
        </w:tc>
        <w:tc>
          <w:tcPr>
            <w:tcW w:w="8100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856DF">
              <w:rPr>
                <w:rFonts w:ascii="Verdana" w:hAnsi="Verdana"/>
                <w:sz w:val="20"/>
                <w:szCs w:val="20"/>
              </w:rPr>
              <w:t>The processes IDs.</w:t>
            </w:r>
          </w:p>
        </w:tc>
      </w:tr>
    </w:tbl>
    <w:p w:rsidR="004A4CF3" w:rsidRDefault="00665740" w:rsidP="004856DF">
      <w:pPr>
        <w:pStyle w:val="Textbody"/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sudo tree /etc/neo4j</w:t>
      </w:r>
    </w:p>
    <w:p w:rsidR="00665740" w:rsidRDefault="00665740" w:rsidP="004856DF">
      <w:pPr>
        <w:pStyle w:val="Textbody"/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sudo tree /var/lib/neo4j</w:t>
      </w:r>
    </w:p>
    <w:p w:rsidR="00665740" w:rsidRDefault="00665740" w:rsidP="004856DF">
      <w:pPr>
        <w:pStyle w:val="Textbody"/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sudo tree /usr/share/neo4j</w:t>
      </w:r>
    </w:p>
    <w:p w:rsidR="00665740" w:rsidRDefault="00665740" w:rsidP="004856DF">
      <w:pPr>
        <w:pStyle w:val="Textbody"/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sudo tree /var/log/neo4j</w:t>
      </w:r>
    </w:p>
    <w:p w:rsidR="00665740" w:rsidRPr="004856DF" w:rsidRDefault="00665740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Heading3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Customize your file locations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The file locations can also be customized by using environment variables and options.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The locations of &lt;neo4j-home&gt; and conf can be configured using environment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12F9" w:rsidRPr="004856DF" w:rsidTr="006B12F9">
        <w:tc>
          <w:tcPr>
            <w:tcW w:w="5228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b/>
                <w:sz w:val="22"/>
                <w:u w:val="single"/>
              </w:rPr>
            </w:pPr>
            <w:r w:rsidRPr="004856DF">
              <w:rPr>
                <w:rFonts w:ascii="Verdana" w:hAnsi="Verdana"/>
                <w:b/>
                <w:sz w:val="22"/>
                <w:u w:val="single"/>
              </w:rPr>
              <w:t>Location</w:t>
            </w:r>
          </w:p>
        </w:tc>
        <w:tc>
          <w:tcPr>
            <w:tcW w:w="5228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b/>
                <w:sz w:val="22"/>
                <w:u w:val="single"/>
              </w:rPr>
            </w:pPr>
            <w:r w:rsidRPr="004856DF">
              <w:rPr>
                <w:rFonts w:ascii="Verdana" w:hAnsi="Verdana"/>
                <w:b/>
                <w:sz w:val="22"/>
                <w:u w:val="single"/>
              </w:rPr>
              <w:t>Environment variable</w:t>
            </w:r>
          </w:p>
        </w:tc>
      </w:tr>
      <w:tr w:rsidR="006B12F9" w:rsidRPr="004856DF" w:rsidTr="006B12F9">
        <w:tc>
          <w:tcPr>
            <w:tcW w:w="5228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2"/>
              </w:rPr>
            </w:pPr>
            <w:r w:rsidRPr="004856DF">
              <w:rPr>
                <w:rFonts w:ascii="Verdana" w:hAnsi="Verdana"/>
                <w:sz w:val="22"/>
              </w:rPr>
              <w:t>&lt;neo4j-home&gt;</w:t>
            </w:r>
          </w:p>
        </w:tc>
        <w:tc>
          <w:tcPr>
            <w:tcW w:w="5228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2"/>
              </w:rPr>
            </w:pPr>
            <w:r w:rsidRPr="004856DF">
              <w:rPr>
                <w:rFonts w:ascii="Verdana" w:hAnsi="Verdana"/>
                <w:sz w:val="22"/>
              </w:rPr>
              <w:t>NEO4J_HOME</w:t>
            </w:r>
          </w:p>
        </w:tc>
      </w:tr>
      <w:tr w:rsidR="006B12F9" w:rsidRPr="004856DF" w:rsidTr="006B12F9">
        <w:tc>
          <w:tcPr>
            <w:tcW w:w="5228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2"/>
              </w:rPr>
            </w:pPr>
            <w:r w:rsidRPr="004856DF">
              <w:rPr>
                <w:rFonts w:ascii="Verdana" w:hAnsi="Verdana"/>
                <w:sz w:val="22"/>
              </w:rPr>
              <w:t>conf</w:t>
            </w:r>
          </w:p>
        </w:tc>
        <w:tc>
          <w:tcPr>
            <w:tcW w:w="5228" w:type="dxa"/>
          </w:tcPr>
          <w:p w:rsidR="006B12F9" w:rsidRPr="004856DF" w:rsidRDefault="006B12F9" w:rsidP="004856DF">
            <w:pPr>
              <w:pStyle w:val="Textbody"/>
              <w:spacing w:line="360" w:lineRule="auto"/>
              <w:rPr>
                <w:rFonts w:ascii="Verdana" w:hAnsi="Verdana"/>
                <w:sz w:val="22"/>
              </w:rPr>
            </w:pPr>
            <w:r w:rsidRPr="004856DF">
              <w:rPr>
                <w:rFonts w:ascii="Verdana" w:hAnsi="Verdana"/>
                <w:sz w:val="22"/>
              </w:rPr>
              <w:t>NEO4J_CONF</w:t>
            </w:r>
          </w:p>
        </w:tc>
      </w:tr>
    </w:tbl>
    <w:p w:rsidR="004A4CF3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EC30ED" w:rsidRPr="00EC30ED" w:rsidRDefault="00EC30ED" w:rsidP="004856DF">
      <w:pPr>
        <w:pStyle w:val="Textbody"/>
        <w:spacing w:line="360" w:lineRule="auto"/>
        <w:rPr>
          <w:rFonts w:ascii="Verdana" w:hAnsi="Verdana"/>
          <w:b/>
          <w:sz w:val="22"/>
        </w:rPr>
      </w:pPr>
      <w:r w:rsidRPr="00EC30ED">
        <w:rPr>
          <w:rFonts w:ascii="Verdana" w:hAnsi="Verdana"/>
          <w:b/>
          <w:sz w:val="22"/>
        </w:rPr>
        <w:t>Example:</w:t>
      </w:r>
    </w:p>
    <w:p w:rsidR="00EC30ED" w:rsidRDefault="00EC30ED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EC30ED">
        <w:rPr>
          <w:rFonts w:ascii="Verdana" w:hAnsi="Verdana"/>
          <w:sz w:val="22"/>
        </w:rPr>
        <w:t>export $NEO4J_HOME=/Users/florin/Downloads/neo4j-community-3.5.3</w:t>
      </w:r>
    </w:p>
    <w:p w:rsidR="00EC30ED" w:rsidRDefault="00EC30ED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EC30ED">
        <w:rPr>
          <w:rFonts w:ascii="Verdana" w:hAnsi="Verdana"/>
          <w:sz w:val="22"/>
        </w:rPr>
        <w:t>export NEO4J_CONF=$NEO4J_HOME/conf</w:t>
      </w:r>
    </w:p>
    <w:p w:rsidR="00EC30ED" w:rsidRDefault="00EC30ED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EC30ED" w:rsidRPr="004856DF" w:rsidRDefault="00EC30ED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6B12F9" w:rsidRPr="004856DF" w:rsidRDefault="00285D74" w:rsidP="004856DF">
      <w:pPr>
        <w:pStyle w:val="Textbody"/>
        <w:spacing w:line="360" w:lineRule="auto"/>
        <w:rPr>
          <w:rFonts w:ascii="Verdana" w:hAnsi="Verdana"/>
          <w:b/>
          <w:sz w:val="22"/>
        </w:rPr>
      </w:pPr>
      <w:r w:rsidRPr="004856DF">
        <w:rPr>
          <w:rFonts w:ascii="Verdana" w:hAnsi="Verdana"/>
          <w:b/>
          <w:sz w:val="22"/>
        </w:rPr>
        <w:t>R</w:t>
      </w:r>
      <w:r w:rsidR="008A1CCC" w:rsidRPr="004856DF">
        <w:rPr>
          <w:rFonts w:ascii="Verdana" w:hAnsi="Verdana"/>
          <w:b/>
          <w:sz w:val="22"/>
        </w:rPr>
        <w:t>est of the locations can be configured in the conf/neo4j.conf file</w:t>
      </w:r>
    </w:p>
    <w:p w:rsidR="008A1CCC" w:rsidRPr="004856DF" w:rsidRDefault="008A1CCC" w:rsidP="004856DF">
      <w:pPr>
        <w:pStyle w:val="Textbody"/>
        <w:spacing w:line="360" w:lineRule="auto"/>
        <w:rPr>
          <w:rFonts w:ascii="Verdana" w:hAnsi="Verdana"/>
          <w:color w:val="00B0F0"/>
          <w:sz w:val="22"/>
        </w:rPr>
      </w:pPr>
      <w:r w:rsidRPr="004856DF">
        <w:rPr>
          <w:rFonts w:ascii="Verdana" w:hAnsi="Verdana"/>
          <w:color w:val="00B0F0"/>
          <w:sz w:val="22"/>
        </w:rPr>
        <w:t>#dbms.directories.data=data</w:t>
      </w:r>
    </w:p>
    <w:p w:rsidR="008A1CCC" w:rsidRPr="004856DF" w:rsidRDefault="008A1CCC" w:rsidP="004856DF">
      <w:pPr>
        <w:pStyle w:val="Textbody"/>
        <w:spacing w:line="360" w:lineRule="auto"/>
        <w:rPr>
          <w:rFonts w:ascii="Verdana" w:hAnsi="Verdana"/>
          <w:color w:val="00B0F0"/>
          <w:sz w:val="22"/>
        </w:rPr>
      </w:pPr>
      <w:r w:rsidRPr="004856DF">
        <w:rPr>
          <w:rFonts w:ascii="Verdana" w:hAnsi="Verdana"/>
          <w:color w:val="00B0F0"/>
          <w:sz w:val="22"/>
        </w:rPr>
        <w:t>#dbms.directories.plugins=plugins</w:t>
      </w:r>
    </w:p>
    <w:p w:rsidR="008A1CCC" w:rsidRPr="004856DF" w:rsidRDefault="008A1CCC" w:rsidP="004856DF">
      <w:pPr>
        <w:pStyle w:val="Textbody"/>
        <w:spacing w:line="360" w:lineRule="auto"/>
        <w:rPr>
          <w:rFonts w:ascii="Verdana" w:hAnsi="Verdana"/>
          <w:color w:val="00B0F0"/>
          <w:sz w:val="22"/>
        </w:rPr>
      </w:pPr>
      <w:r w:rsidRPr="004856DF">
        <w:rPr>
          <w:rFonts w:ascii="Verdana" w:hAnsi="Verdana"/>
          <w:color w:val="00B0F0"/>
          <w:sz w:val="22"/>
        </w:rPr>
        <w:t>#dbms.directories.logs=logs</w:t>
      </w:r>
    </w:p>
    <w:p w:rsidR="008A1CCC" w:rsidRPr="004856DF" w:rsidRDefault="008A1CCC" w:rsidP="004856DF">
      <w:pPr>
        <w:pStyle w:val="Textbody"/>
        <w:spacing w:line="360" w:lineRule="auto"/>
        <w:rPr>
          <w:rFonts w:ascii="Verdana" w:hAnsi="Verdana"/>
          <w:color w:val="00B0F0"/>
          <w:sz w:val="22"/>
        </w:rPr>
      </w:pPr>
      <w:r w:rsidRPr="004856DF">
        <w:rPr>
          <w:rFonts w:ascii="Verdana" w:hAnsi="Verdana"/>
          <w:color w:val="00B0F0"/>
          <w:sz w:val="22"/>
        </w:rPr>
        <w:t>#dbms.directories.lib=lib</w:t>
      </w:r>
    </w:p>
    <w:p w:rsidR="008A1CCC" w:rsidRPr="004856DF" w:rsidRDefault="008A1CCC" w:rsidP="004856DF">
      <w:pPr>
        <w:pStyle w:val="Textbody"/>
        <w:spacing w:line="360" w:lineRule="auto"/>
        <w:rPr>
          <w:rFonts w:ascii="Verdana" w:hAnsi="Verdana"/>
          <w:color w:val="00B0F0"/>
          <w:sz w:val="22"/>
        </w:rPr>
      </w:pPr>
      <w:r w:rsidRPr="004856DF">
        <w:rPr>
          <w:rFonts w:ascii="Verdana" w:hAnsi="Verdana"/>
          <w:color w:val="00B0F0"/>
          <w:sz w:val="22"/>
        </w:rPr>
        <w:t>#dbms.directories.run=run</w:t>
      </w:r>
    </w:p>
    <w:p w:rsidR="008A1CCC" w:rsidRPr="004856DF" w:rsidRDefault="008A1CCC" w:rsidP="004856DF">
      <w:pPr>
        <w:pStyle w:val="Textbody"/>
        <w:spacing w:line="360" w:lineRule="auto"/>
        <w:rPr>
          <w:rFonts w:ascii="Verdana" w:hAnsi="Verdana"/>
          <w:color w:val="00B0F0"/>
          <w:sz w:val="22"/>
        </w:rPr>
      </w:pPr>
      <w:r w:rsidRPr="004856DF">
        <w:rPr>
          <w:rFonts w:ascii="Verdana" w:hAnsi="Verdana"/>
          <w:color w:val="00B0F0"/>
          <w:sz w:val="22"/>
        </w:rPr>
        <w:t>#dbms.directories.metrics=metrics</w:t>
      </w:r>
    </w:p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Ports</w:t>
      </w:r>
    </w:p>
    <w:tbl>
      <w:tblPr>
        <w:tblW w:w="122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036"/>
        <w:gridCol w:w="7632"/>
      </w:tblGrid>
      <w:tr w:rsidR="00285D74" w:rsidRPr="004856DF" w:rsidTr="00285D74">
        <w:trPr>
          <w:tblHeader/>
        </w:trPr>
        <w:tc>
          <w:tcPr>
            <w:tcW w:w="2610" w:type="dxa"/>
            <w:tcBorders>
              <w:bottom w:val="single" w:sz="12" w:space="0" w:color="EDF2F7"/>
            </w:tcBorders>
            <w:shd w:val="clear" w:color="auto" w:fill="F7FAFC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b/>
                <w:bCs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b/>
                <w:bCs/>
                <w:color w:val="2D3748"/>
                <w:sz w:val="20"/>
              </w:rPr>
              <w:t>Name</w:t>
            </w:r>
          </w:p>
        </w:tc>
        <w:tc>
          <w:tcPr>
            <w:tcW w:w="2036" w:type="dxa"/>
            <w:tcBorders>
              <w:bottom w:val="single" w:sz="12" w:space="0" w:color="EDF2F7"/>
            </w:tcBorders>
            <w:shd w:val="clear" w:color="auto" w:fill="F7FAFC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b/>
                <w:bCs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b/>
                <w:bCs/>
                <w:color w:val="2D3748"/>
                <w:sz w:val="20"/>
              </w:rPr>
              <w:t>Default port</w:t>
            </w:r>
          </w:p>
        </w:tc>
        <w:tc>
          <w:tcPr>
            <w:tcW w:w="0" w:type="auto"/>
            <w:tcBorders>
              <w:bottom w:val="single" w:sz="12" w:space="0" w:color="EDF2F7"/>
            </w:tcBorders>
            <w:shd w:val="clear" w:color="auto" w:fill="F7FAFC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b/>
                <w:bCs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b/>
                <w:bCs/>
                <w:color w:val="2D3748"/>
                <w:sz w:val="20"/>
              </w:rPr>
              <w:t>Related configuration setting</w:t>
            </w:r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Backup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6362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0" w:anchor="config_dbms.backup.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dbms.backup.listen_address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HTTP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7474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1" w:anchor="config_dbms.connector.http.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dbms.connector.http.listen_address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HTTPS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7473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2" w:anchor="config_dbms.connector.https.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dbms.connector.https.listen_address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Bolt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7687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3" w:anchor="config_dbms.connector.bolt.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dbms.connector.bolt.listen_address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Causal Cluster discovery management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5000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4" w:anchor="config_causal_clustering.discovery_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causal_clustering.discovery_listen_address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Causal Cluster transaction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6000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5" w:anchor="config_causal_clustering.transaction_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causal_clustering.transaction_listen_address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Causal Cluster RAFT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7000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6" w:anchor="config_causal_clustering.raft_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causal_clustering.raft_listen_address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Causal Cluster routing connector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7688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7" w:anchor="config_dbms.routing.listen_address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dbms.routing.listen_address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Graphite monitoring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2003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8" w:anchor="config_metrics.graphite.server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metrics.graphite.server</w:t>
              </w:r>
            </w:hyperlink>
          </w:p>
        </w:tc>
      </w:tr>
      <w:tr w:rsidR="00285D74" w:rsidRPr="004856DF" w:rsidTr="00285D74">
        <w:tc>
          <w:tcPr>
            <w:tcW w:w="261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Times New Roman"/>
                <w:color w:val="2D3748"/>
                <w:sz w:val="20"/>
              </w:rPr>
              <w:t>Prometheus monitoring</w:t>
            </w:r>
          </w:p>
        </w:tc>
        <w:tc>
          <w:tcPr>
            <w:tcW w:w="2036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285D74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sz w:val="19"/>
                <w:szCs w:val="23"/>
                <w:shd w:val="clear" w:color="auto" w:fill="F7FAFC"/>
              </w:rPr>
              <w:t>2004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285D74" w:rsidRPr="004856DF" w:rsidRDefault="00F62293" w:rsidP="004856DF">
            <w:pPr>
              <w:spacing w:line="360" w:lineRule="auto"/>
              <w:rPr>
                <w:rFonts w:ascii="Verdana" w:eastAsia="Times New Roman" w:hAnsi="Verdana" w:cs="Times New Roman"/>
                <w:color w:val="2D3748"/>
                <w:sz w:val="20"/>
              </w:rPr>
            </w:pPr>
            <w:hyperlink r:id="rId19" w:anchor="config_metrics.prometheus.endpoint" w:history="1">
              <w:r w:rsidR="00285D74" w:rsidRPr="004856DF">
                <w:rPr>
                  <w:rFonts w:ascii="Verdana" w:eastAsia="Times New Roman" w:hAnsi="Verdana" w:cs="Courier New"/>
                  <w:b/>
                  <w:bCs/>
                  <w:color w:val="3182CE"/>
                  <w:sz w:val="19"/>
                  <w:szCs w:val="23"/>
                  <w:shd w:val="clear" w:color="auto" w:fill="F7FAFC"/>
                </w:rPr>
                <w:t>metrics.prometheus.endpoint</w:t>
              </w:r>
            </w:hyperlink>
          </w:p>
        </w:tc>
      </w:tr>
    </w:tbl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18"/>
        </w:rPr>
      </w:pPr>
    </w:p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Password and user recovery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stop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vim /etc/neo4j/neo4j.conf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b/>
          <w:bCs/>
          <w:sz w:val="22"/>
        </w:rPr>
      </w:pPr>
      <w:r w:rsidRPr="004856DF">
        <w:rPr>
          <w:rFonts w:ascii="Verdana" w:hAnsi="Verdana"/>
          <w:b/>
          <w:bCs/>
          <w:sz w:val="22"/>
        </w:rPr>
        <w:t>#Set:</w:t>
      </w:r>
    </w:p>
    <w:p w:rsidR="00285D74" w:rsidRPr="004856DF" w:rsidRDefault="00285D74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#dbms.default_listen_address=&lt;You Configuration&gt;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dbms.security.auth_enabled=false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start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lastRenderedPageBreak/>
        <w:t>cypher-shell -d system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ALTER USER neo4j SET PASSWORD 'Azure@123';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:exit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stop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vim /etc/neo4j/neo4j.conf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#Set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dbms.security.auth_enabled=true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dbms.default_listen_address=&lt;You Configuration&gt;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start neo4j</w:t>
      </w:r>
    </w:p>
    <w:p w:rsidR="00AD3BDB" w:rsidRPr="004856DF" w:rsidRDefault="00AD3BDB" w:rsidP="004856DF">
      <w:pPr>
        <w:suppressAutoHyphens w:val="0"/>
        <w:spacing w:line="360" w:lineRule="auto"/>
        <w:rPr>
          <w:rFonts w:ascii="Verdana" w:eastAsia="Noto Sans CJK SC" w:hAnsi="Verdana"/>
          <w:b/>
          <w:bCs/>
          <w:sz w:val="26"/>
          <w:szCs w:val="28"/>
        </w:rPr>
      </w:pPr>
      <w:r w:rsidRPr="004856DF">
        <w:rPr>
          <w:rFonts w:ascii="Verdana" w:hAnsi="Verdana"/>
          <w:sz w:val="26"/>
        </w:rPr>
        <w:br w:type="page"/>
      </w:r>
    </w:p>
    <w:p w:rsidR="004A4CF3" w:rsidRPr="004856DF" w:rsidRDefault="00D01D27" w:rsidP="004856DF">
      <w:pPr>
        <w:pStyle w:val="Heading3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lastRenderedPageBreak/>
        <w:t>Recover an unassigned admin role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If you have no user assigned to the admin role, you can grant an admin role to an existing user (assuming your existing user is named neo4j):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stop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vim /etc/neo4j/neo4j.conf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#Set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dbms.security.auth_enabled=false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#dbms.default_listen_address=&lt;You Configuration&gt;</w:t>
      </w:r>
    </w:p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start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# Note: Wait for 10 Seconds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cypher-shell -d system</w:t>
      </w:r>
    </w:p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ROLE admin TO neo4j;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:exit</w:t>
      </w:r>
    </w:p>
    <w:p w:rsidR="00AE4B7A" w:rsidRPr="004856DF" w:rsidRDefault="00AE4B7A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stop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vim /etc/neo4j/neo4j.conf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dbms.security.auth_enabled=true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dbms.default_listen_address=&lt;You Configuration&gt;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start neo4j</w:t>
      </w:r>
    </w:p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AD3BDB" w:rsidRPr="004856DF" w:rsidRDefault="00AD3BDB" w:rsidP="004856DF">
      <w:pPr>
        <w:suppressAutoHyphens w:val="0"/>
        <w:spacing w:line="360" w:lineRule="auto"/>
        <w:rPr>
          <w:rFonts w:ascii="Verdana" w:eastAsia="Noto Sans CJK SC" w:hAnsi="Verdana"/>
          <w:b/>
          <w:bCs/>
          <w:sz w:val="26"/>
          <w:szCs w:val="28"/>
        </w:rPr>
      </w:pPr>
      <w:r w:rsidRPr="004856DF">
        <w:rPr>
          <w:rFonts w:ascii="Verdana" w:hAnsi="Verdana"/>
          <w:sz w:val="26"/>
        </w:rPr>
        <w:br w:type="page"/>
      </w:r>
    </w:p>
    <w:p w:rsidR="004A4CF3" w:rsidRPr="004856DF" w:rsidRDefault="00D01D27" w:rsidP="004856DF">
      <w:pPr>
        <w:pStyle w:val="Heading3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lastRenderedPageBreak/>
        <w:t>Recover the admin role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If you have removed the admin role from your system entirely, you can recreate the role with its original capabilities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stop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vim /etc/neo4j/neo4j.conf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#Set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#dbms.default_listen_address=&lt;You Configuration&gt;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dbms.security.auth_enabled=false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start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#Create a custom admin role using a client such as Cypher Shell, or the Neo4j Browser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cypher-shell -d system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CREATE ROLE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ALL DBMS PRIVILEGES ON DBMS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TRANSACTION MANAGEMENT ON DATABASE *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START ON DATABASE *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STOP ON DATABASE *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MATCH {*} ON GRAPH *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WRITE ON GRAPH *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ALL ON DATABASE * TO admin;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GRANT ROLE admin TO neo4j;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 w:rsidRPr="004856DF">
        <w:rPr>
          <w:rFonts w:ascii="Verdana" w:hAnsi="Verdana"/>
          <w:color w:val="7030A0"/>
          <w:sz w:val="22"/>
        </w:rPr>
        <w:t>neo4j@system&gt; :exit</w:t>
      </w:r>
    </w:p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stop neo4j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vim /etc/neo4j/neo4j.conf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sz w:val="22"/>
        </w:rPr>
      </w:pPr>
      <w:r w:rsidRPr="004856DF">
        <w:rPr>
          <w:rFonts w:ascii="Verdana" w:hAnsi="Verdana"/>
          <w:sz w:val="22"/>
        </w:rPr>
        <w:t>#Set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dbms.security.auth_enabled=true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5B9BD5" w:themeColor="accent1"/>
          <w:sz w:val="22"/>
        </w:rPr>
      </w:pPr>
      <w:r w:rsidRPr="004856DF">
        <w:rPr>
          <w:rFonts w:ascii="Verdana" w:hAnsi="Verdana"/>
          <w:color w:val="5B9BD5" w:themeColor="accent1"/>
          <w:sz w:val="22"/>
        </w:rPr>
        <w:t>dbms.default_listen_address=&lt;You Configuration&gt;</w:t>
      </w:r>
    </w:p>
    <w:p w:rsidR="004A4CF3" w:rsidRPr="004856DF" w:rsidRDefault="00D01D27" w:rsidP="004856DF">
      <w:pPr>
        <w:pStyle w:val="Textbody"/>
        <w:spacing w:line="360" w:lineRule="auto"/>
        <w:rPr>
          <w:rFonts w:ascii="Verdana" w:hAnsi="Verdana"/>
          <w:color w:val="ED7D31" w:themeColor="accent2"/>
          <w:sz w:val="22"/>
        </w:rPr>
      </w:pPr>
      <w:r w:rsidRPr="004856DF">
        <w:rPr>
          <w:rFonts w:ascii="Verdana" w:hAnsi="Verdana"/>
          <w:color w:val="ED7D31" w:themeColor="accent2"/>
          <w:sz w:val="22"/>
        </w:rPr>
        <w:t>sudo systemctl start neo4j</w:t>
      </w:r>
    </w:p>
    <w:p w:rsidR="004A4CF3" w:rsidRPr="004856DF" w:rsidRDefault="004A4CF3" w:rsidP="004856DF">
      <w:pPr>
        <w:pStyle w:val="Textbody"/>
        <w:spacing w:line="360" w:lineRule="auto"/>
        <w:rPr>
          <w:rFonts w:ascii="Verdana" w:hAnsi="Verdana"/>
          <w:sz w:val="22"/>
        </w:rPr>
      </w:pPr>
    </w:p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lastRenderedPageBreak/>
        <w:t>Configure Neo4j connectors</w:t>
      </w:r>
    </w:p>
    <w:p w:rsidR="004A4CF3" w:rsidRPr="004856DF" w:rsidRDefault="00DE4DCE" w:rsidP="004856DF">
      <w:pPr>
        <w:pStyle w:val="NoSpacing"/>
        <w:numPr>
          <w:ilvl w:val="0"/>
          <w:numId w:val="1"/>
        </w:numPr>
        <w:spacing w:line="360" w:lineRule="auto"/>
        <w:rPr>
          <w:rFonts w:ascii="Verdana" w:hAnsi="Verdana"/>
          <w:u w:val="single"/>
        </w:rPr>
      </w:pPr>
      <w:r w:rsidRPr="004856DF">
        <w:rPr>
          <w:rFonts w:ascii="Verdana" w:hAnsi="Verdana"/>
          <w:u w:val="single"/>
        </w:rPr>
        <w:t>Available connectors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2154"/>
        <w:gridCol w:w="5190"/>
      </w:tblGrid>
      <w:tr w:rsidR="00DE4DCE" w:rsidRPr="00DE4DCE" w:rsidTr="00DE4DC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C"/>
            <w:vAlign w:val="center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b/>
                <w:bCs/>
                <w:i/>
                <w:iCs/>
                <w:color w:val="2D3748"/>
                <w:spacing w:val="2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b/>
                <w:bCs/>
                <w:i/>
                <w:iCs/>
                <w:color w:val="2D3748"/>
                <w:spacing w:val="2"/>
                <w:kern w:val="0"/>
                <w:sz w:val="22"/>
                <w:szCs w:val="22"/>
                <w:lang w:val="en-US" w:eastAsia="en-US" w:bidi="ar-SA"/>
              </w:rPr>
              <w:t> Default connectors and their ports</w:t>
            </w:r>
          </w:p>
        </w:tc>
      </w:tr>
      <w:tr w:rsidR="00DE4DCE" w:rsidRPr="00DE4DCE" w:rsidTr="00DE4DCE">
        <w:trPr>
          <w:tblHeader/>
        </w:trPr>
        <w:tc>
          <w:tcPr>
            <w:tcW w:w="0" w:type="auto"/>
            <w:tcBorders>
              <w:bottom w:val="single" w:sz="12" w:space="0" w:color="EDF2F7"/>
            </w:tcBorders>
            <w:shd w:val="clear" w:color="auto" w:fill="F7FAFC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b/>
                <w:bCs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b/>
                <w:bCs/>
                <w:color w:val="2D3748"/>
                <w:kern w:val="0"/>
                <w:sz w:val="22"/>
                <w:szCs w:val="22"/>
                <w:lang w:val="en-US" w:eastAsia="en-US" w:bidi="ar-SA"/>
              </w:rPr>
              <w:t>Connector name</w:t>
            </w:r>
          </w:p>
        </w:tc>
        <w:tc>
          <w:tcPr>
            <w:tcW w:w="0" w:type="auto"/>
            <w:tcBorders>
              <w:bottom w:val="single" w:sz="12" w:space="0" w:color="EDF2F7"/>
            </w:tcBorders>
            <w:shd w:val="clear" w:color="auto" w:fill="F7FAFC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b/>
                <w:bCs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b/>
                <w:bCs/>
                <w:color w:val="2D3748"/>
                <w:kern w:val="0"/>
                <w:sz w:val="22"/>
                <w:szCs w:val="22"/>
                <w:lang w:val="en-US" w:eastAsia="en-US" w:bidi="ar-SA"/>
              </w:rPr>
              <w:t>Protocol</w:t>
            </w:r>
          </w:p>
        </w:tc>
        <w:tc>
          <w:tcPr>
            <w:tcW w:w="0" w:type="auto"/>
            <w:tcBorders>
              <w:bottom w:val="single" w:sz="12" w:space="0" w:color="EDF2F7"/>
            </w:tcBorders>
            <w:shd w:val="clear" w:color="auto" w:fill="F7FAFC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b/>
                <w:bCs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b/>
                <w:bCs/>
                <w:color w:val="2D3748"/>
                <w:kern w:val="0"/>
                <w:sz w:val="22"/>
                <w:szCs w:val="22"/>
                <w:lang w:val="en-US" w:eastAsia="en-US" w:bidi="ar-SA"/>
              </w:rPr>
              <w:t>Default port number</w:t>
            </w:r>
          </w:p>
        </w:tc>
      </w:tr>
      <w:tr w:rsidR="00DE4DCE" w:rsidRPr="00DE4DCE" w:rsidTr="00DE4DCE"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kern w:val="0"/>
                <w:sz w:val="22"/>
                <w:szCs w:val="22"/>
                <w:shd w:val="clear" w:color="auto" w:fill="F7FAFC"/>
                <w:lang w:val="en-US" w:eastAsia="en-US" w:bidi="ar-SA"/>
              </w:rPr>
              <w:t>dbms.connector.bolt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  <w:t>Bolt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kern w:val="0"/>
                <w:sz w:val="22"/>
                <w:szCs w:val="22"/>
                <w:shd w:val="clear" w:color="auto" w:fill="F7FAFC"/>
                <w:lang w:val="en-US" w:eastAsia="en-US" w:bidi="ar-SA"/>
              </w:rPr>
              <w:t>7687</w:t>
            </w:r>
          </w:p>
        </w:tc>
      </w:tr>
      <w:tr w:rsidR="00DE4DCE" w:rsidRPr="00DE4DCE" w:rsidTr="00DE4DCE"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kern w:val="0"/>
                <w:sz w:val="22"/>
                <w:szCs w:val="22"/>
                <w:shd w:val="clear" w:color="auto" w:fill="F7FAFC"/>
                <w:lang w:val="en-US" w:eastAsia="en-US" w:bidi="ar-SA"/>
              </w:rPr>
              <w:t>dbms.connector.http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  <w:t>HTTP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kern w:val="0"/>
                <w:sz w:val="22"/>
                <w:szCs w:val="22"/>
                <w:shd w:val="clear" w:color="auto" w:fill="F7FAFC"/>
                <w:lang w:val="en-US" w:eastAsia="en-US" w:bidi="ar-SA"/>
              </w:rPr>
              <w:t>7474</w:t>
            </w:r>
          </w:p>
        </w:tc>
      </w:tr>
      <w:tr w:rsidR="00DE4DCE" w:rsidRPr="00DE4DCE" w:rsidTr="00DE4DCE">
        <w:tc>
          <w:tcPr>
            <w:tcW w:w="0" w:type="auto"/>
            <w:tcBorders>
              <w:top w:val="single" w:sz="6" w:space="0" w:color="EDF2F7"/>
              <w:bottom w:val="single" w:sz="18" w:space="0" w:color="E2E8F0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kern w:val="0"/>
                <w:sz w:val="22"/>
                <w:szCs w:val="22"/>
                <w:shd w:val="clear" w:color="auto" w:fill="F7FAFC"/>
                <w:lang w:val="en-US" w:eastAsia="en-US" w:bidi="ar-SA"/>
              </w:rPr>
              <w:t>dbms.connector.https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18" w:space="0" w:color="E2E8F0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DE4DCE"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  <w:t>HTTPS</w:t>
            </w:r>
          </w:p>
        </w:tc>
        <w:tc>
          <w:tcPr>
            <w:tcW w:w="0" w:type="auto"/>
            <w:tcBorders>
              <w:top w:val="single" w:sz="6" w:space="0" w:color="EDF2F7"/>
              <w:bottom w:val="single" w:sz="18" w:space="0" w:color="E2E8F0"/>
            </w:tcBorders>
            <w:shd w:val="clear" w:color="auto" w:fill="FFFFFF"/>
            <w:hideMark/>
          </w:tcPr>
          <w:p w:rsidR="00DE4DCE" w:rsidRPr="00DE4DCE" w:rsidRDefault="00DE4DCE" w:rsidP="004856DF">
            <w:pPr>
              <w:suppressAutoHyphens w:val="0"/>
              <w:autoSpaceDN/>
              <w:spacing w:line="360" w:lineRule="auto"/>
              <w:textAlignment w:val="auto"/>
              <w:rPr>
                <w:rFonts w:ascii="Verdana" w:eastAsia="Times New Roman" w:hAnsi="Verdana" w:cs="Times New Roman"/>
                <w:color w:val="2D3748"/>
                <w:kern w:val="0"/>
                <w:sz w:val="22"/>
                <w:szCs w:val="22"/>
                <w:lang w:val="en-US" w:eastAsia="en-US" w:bidi="ar-SA"/>
              </w:rPr>
            </w:pPr>
            <w:r w:rsidRPr="004856DF">
              <w:rPr>
                <w:rFonts w:ascii="Verdana" w:eastAsia="Times New Roman" w:hAnsi="Verdana" w:cs="Courier New"/>
                <w:color w:val="4A5568"/>
                <w:kern w:val="0"/>
                <w:sz w:val="22"/>
                <w:szCs w:val="22"/>
                <w:shd w:val="clear" w:color="auto" w:fill="F7FAFC"/>
                <w:lang w:val="en-US" w:eastAsia="en-US" w:bidi="ar-SA"/>
              </w:rPr>
              <w:t>7473</w:t>
            </w:r>
          </w:p>
        </w:tc>
      </w:tr>
    </w:tbl>
    <w:p w:rsidR="00DE4DCE" w:rsidRPr="004856DF" w:rsidRDefault="00DE4DCE" w:rsidP="004856DF">
      <w:pPr>
        <w:pStyle w:val="NoSpacing"/>
        <w:spacing w:line="360" w:lineRule="auto"/>
        <w:rPr>
          <w:rFonts w:ascii="Verdana" w:hAnsi="Verdana"/>
        </w:rPr>
      </w:pPr>
    </w:p>
    <w:p w:rsidR="00DE4DCE" w:rsidRPr="004856DF" w:rsidRDefault="00DE4DCE" w:rsidP="004856DF">
      <w:pPr>
        <w:pStyle w:val="Textbody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Configuration options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The connectors are configured by settings on the format dbms.connector.&lt;connector-name&gt;.&lt;setting-suffix&gt;&gt;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  <w:b/>
        </w:rPr>
      </w:pPr>
      <w:r w:rsidRPr="004856DF">
        <w:rPr>
          <w:rFonts w:ascii="Verdana" w:hAnsi="Verdana"/>
          <w:b/>
        </w:rPr>
        <w:t>Example 1. Specify listen_address for the Bolt connector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To listen for Bolt connections on all network interfaces (0.0.0.0) and on port 7000, set the listen_address for the Bolt connector:</w:t>
      </w:r>
    </w:p>
    <w:p w:rsidR="00DE4DCE" w:rsidRPr="005C2C63" w:rsidRDefault="00DE4DCE" w:rsidP="004856DF">
      <w:pPr>
        <w:pStyle w:val="Textbody"/>
        <w:spacing w:line="360" w:lineRule="auto"/>
        <w:rPr>
          <w:rFonts w:ascii="Verdana" w:hAnsi="Verdana"/>
          <w:color w:val="00B0F0"/>
        </w:rPr>
      </w:pPr>
      <w:r w:rsidRPr="005C2C63">
        <w:rPr>
          <w:rFonts w:ascii="Verdana" w:hAnsi="Verdana"/>
          <w:color w:val="00B0F0"/>
        </w:rPr>
        <w:t>dbms.connector.bolt.listen_address=0.0.0.0:7000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  <w:b/>
        </w:rPr>
      </w:pPr>
      <w:r w:rsidRPr="004856DF">
        <w:rPr>
          <w:rFonts w:ascii="Verdana" w:hAnsi="Verdana"/>
          <w:b/>
        </w:rPr>
        <w:t>Defaults for addresses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Possible to specify defaults for the configuration options with listen_address and advertised_address suffixes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Setting a default value will apply to all the connectors, unless specifically configured for a certain connector.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  <w:color w:val="00B0F0"/>
        </w:rPr>
      </w:pPr>
      <w:r w:rsidRPr="004856DF">
        <w:rPr>
          <w:rFonts w:ascii="Verdana" w:hAnsi="Verdana"/>
          <w:color w:val="00B0F0"/>
        </w:rPr>
        <w:t>dbms.default_listen_address</w:t>
      </w:r>
    </w:p>
    <w:p w:rsidR="005C2C63" w:rsidRDefault="005C2C63" w:rsidP="004856DF">
      <w:pPr>
        <w:pStyle w:val="Textbody"/>
        <w:spacing w:line="360" w:lineRule="auto"/>
        <w:rPr>
          <w:rFonts w:ascii="Verdana" w:hAnsi="Verdana"/>
          <w:color w:val="00B0F0"/>
        </w:rPr>
      </w:pP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  <w:color w:val="00B0F0"/>
        </w:rPr>
      </w:pPr>
      <w:r w:rsidRPr="004856DF">
        <w:rPr>
          <w:rFonts w:ascii="Verdana" w:hAnsi="Verdana"/>
          <w:color w:val="00B0F0"/>
        </w:rPr>
        <w:t>dbms.connector.bolt.listen_address=0.0.0.0:7000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This is equivalent</w:t>
      </w:r>
      <w:r w:rsidR="005C2C63">
        <w:rPr>
          <w:rFonts w:ascii="Verdana" w:hAnsi="Verdana"/>
        </w:rPr>
        <w:t xml:space="preserve"> to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  <w:color w:val="00B0F0"/>
        </w:rPr>
      </w:pPr>
      <w:r w:rsidRPr="004856DF">
        <w:rPr>
          <w:rFonts w:ascii="Verdana" w:hAnsi="Verdana"/>
          <w:color w:val="00B0F0"/>
        </w:rPr>
        <w:t>dbms.default_listen_address=0.0.0.0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  <w:color w:val="00B0F0"/>
        </w:rPr>
        <w:t>dbms.connector.bolt.listen_address=:7000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</w:p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lastRenderedPageBreak/>
        <w:t>Configure dynamic settings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Neo4j Enterprise Edition supports changing some configuration settings at runtime, without restarting the service.</w:t>
      </w:r>
    </w:p>
    <w:p w:rsidR="00DE4DCE" w:rsidRPr="004856DF" w:rsidRDefault="00DE4DCE" w:rsidP="004856DF">
      <w:pPr>
        <w:pStyle w:val="Textbody"/>
        <w:spacing w:line="360" w:lineRule="auto"/>
        <w:rPr>
          <w:rFonts w:ascii="Verdana" w:hAnsi="Verdana"/>
          <w:b/>
        </w:rPr>
      </w:pPr>
      <w:r w:rsidRPr="004856DF">
        <w:rPr>
          <w:rFonts w:ascii="Verdana" w:hAnsi="Verdana"/>
          <w:b/>
        </w:rPr>
        <w:t>Note:</w:t>
      </w:r>
    </w:p>
    <w:p w:rsidR="00DE4DCE" w:rsidRPr="004856DF" w:rsidRDefault="00DE4DCE" w:rsidP="004856DF">
      <w:pPr>
        <w:pStyle w:val="ListParagraph"/>
        <w:spacing w:line="360" w:lineRule="auto"/>
        <w:ind w:left="360" w:hanging="360"/>
        <w:rPr>
          <w:rFonts w:ascii="Verdana" w:hAnsi="Verdana"/>
        </w:rPr>
      </w:pPr>
      <w:r w:rsidRPr="004856DF">
        <w:rPr>
          <w:rFonts w:ascii="Verdana" w:hAnsi="Verdana"/>
        </w:rPr>
        <w:t>Changes to the configuration at runtime are not persisted</w:t>
      </w:r>
    </w:p>
    <w:p w:rsidR="004A4CF3" w:rsidRPr="004856DF" w:rsidRDefault="00DE4DCE" w:rsidP="004856DF">
      <w:pPr>
        <w:pStyle w:val="ListParagraph"/>
        <w:spacing w:line="360" w:lineRule="auto"/>
        <w:ind w:left="360" w:hanging="360"/>
        <w:rPr>
          <w:rFonts w:ascii="Verdana" w:hAnsi="Verdana"/>
        </w:rPr>
      </w:pPr>
      <w:r w:rsidRPr="004856DF">
        <w:rPr>
          <w:rFonts w:ascii="Verdana" w:hAnsi="Verdana"/>
        </w:rPr>
        <w:t>To avoid losing changes when restarting Neo4j make sure to update neo4j.conf as well.</w:t>
      </w:r>
    </w:p>
    <w:p w:rsidR="00FE2782" w:rsidRPr="004856DF" w:rsidRDefault="00FE2782" w:rsidP="004856DF">
      <w:pPr>
        <w:pStyle w:val="ListParagraph"/>
        <w:spacing w:line="360" w:lineRule="auto"/>
        <w:ind w:left="360" w:hanging="360"/>
        <w:rPr>
          <w:rFonts w:ascii="Verdana" w:hAnsi="Verdana"/>
          <w:b/>
        </w:rPr>
      </w:pPr>
      <w:r w:rsidRPr="004856DF">
        <w:rPr>
          <w:rFonts w:ascii="Verdana" w:hAnsi="Verdana"/>
          <w:b/>
        </w:rPr>
        <w:t>Example: Discover dynamic settings</w:t>
      </w:r>
    </w:p>
    <w:p w:rsidR="00261EDB" w:rsidRPr="00261EDB" w:rsidRDefault="00261EDB" w:rsidP="00261EDB">
      <w:pPr>
        <w:pStyle w:val="ListParagraph"/>
        <w:spacing w:line="360" w:lineRule="auto"/>
        <w:ind w:left="360" w:hanging="360"/>
        <w:rPr>
          <w:rFonts w:ascii="Verdana" w:hAnsi="Verdana"/>
          <w:color w:val="7030A0"/>
        </w:rPr>
      </w:pPr>
      <w:r w:rsidRPr="00261EDB">
        <w:rPr>
          <w:rFonts w:ascii="Verdana" w:hAnsi="Verdana"/>
          <w:color w:val="7030A0"/>
        </w:rPr>
        <w:t>CALL dbms.listConfig()</w:t>
      </w:r>
    </w:p>
    <w:p w:rsidR="00261EDB" w:rsidRPr="00261EDB" w:rsidRDefault="00261EDB" w:rsidP="00261EDB">
      <w:pPr>
        <w:pStyle w:val="ListParagraph"/>
        <w:spacing w:line="360" w:lineRule="auto"/>
        <w:ind w:left="360" w:hanging="360"/>
        <w:rPr>
          <w:rFonts w:ascii="Verdana" w:hAnsi="Verdana"/>
          <w:color w:val="7030A0"/>
        </w:rPr>
      </w:pPr>
      <w:r w:rsidRPr="00261EDB">
        <w:rPr>
          <w:rFonts w:ascii="Verdana" w:hAnsi="Verdana"/>
          <w:color w:val="7030A0"/>
        </w:rPr>
        <w:t>YIELD name, dynamic, value</w:t>
      </w:r>
    </w:p>
    <w:p w:rsidR="00261EDB" w:rsidRPr="00261EDB" w:rsidRDefault="00261EDB" w:rsidP="00261EDB">
      <w:pPr>
        <w:pStyle w:val="ListParagraph"/>
        <w:spacing w:line="360" w:lineRule="auto"/>
        <w:ind w:left="360" w:hanging="360"/>
        <w:rPr>
          <w:rFonts w:ascii="Verdana" w:hAnsi="Verdana"/>
          <w:color w:val="7030A0"/>
        </w:rPr>
      </w:pPr>
      <w:r w:rsidRPr="00261EDB">
        <w:rPr>
          <w:rFonts w:ascii="Verdana" w:hAnsi="Verdana"/>
          <w:color w:val="7030A0"/>
        </w:rPr>
        <w:t>WHERE dynamic</w:t>
      </w:r>
    </w:p>
    <w:p w:rsidR="00261EDB" w:rsidRPr="00261EDB" w:rsidRDefault="00261EDB" w:rsidP="00261EDB">
      <w:pPr>
        <w:pStyle w:val="ListParagraph"/>
        <w:spacing w:line="360" w:lineRule="auto"/>
        <w:ind w:left="360" w:hanging="360"/>
        <w:rPr>
          <w:rFonts w:ascii="Verdana" w:hAnsi="Verdana"/>
          <w:color w:val="7030A0"/>
        </w:rPr>
      </w:pPr>
      <w:r w:rsidRPr="00261EDB">
        <w:rPr>
          <w:rFonts w:ascii="Verdana" w:hAnsi="Verdana"/>
          <w:color w:val="7030A0"/>
        </w:rPr>
        <w:t>RETURN name, dynamic, value</w:t>
      </w:r>
    </w:p>
    <w:p w:rsidR="00FE2782" w:rsidRPr="005C2C63" w:rsidRDefault="00261EDB" w:rsidP="00261EDB">
      <w:pPr>
        <w:pStyle w:val="ListParagraph"/>
        <w:spacing w:line="360" w:lineRule="auto"/>
        <w:ind w:left="360" w:hanging="360"/>
        <w:rPr>
          <w:rFonts w:ascii="Verdana" w:hAnsi="Verdana"/>
          <w:color w:val="7030A0"/>
        </w:rPr>
      </w:pPr>
      <w:r w:rsidRPr="00261EDB">
        <w:rPr>
          <w:rFonts w:ascii="Verdana" w:hAnsi="Verdana"/>
          <w:color w:val="7030A0"/>
        </w:rPr>
        <w:t>ORDER BY name</w:t>
      </w:r>
    </w:p>
    <w:p w:rsidR="00FE2782" w:rsidRPr="004856DF" w:rsidRDefault="00FE2782" w:rsidP="004856DF">
      <w:pPr>
        <w:pStyle w:val="ListParagraph"/>
        <w:spacing w:line="360" w:lineRule="auto"/>
        <w:ind w:left="360" w:hanging="360"/>
        <w:rPr>
          <w:rFonts w:ascii="Verdana" w:hAnsi="Verdana"/>
        </w:rPr>
      </w:pPr>
    </w:p>
    <w:p w:rsidR="00FE2782" w:rsidRPr="004856DF" w:rsidRDefault="00FE2782" w:rsidP="004856DF">
      <w:pPr>
        <w:pStyle w:val="ListParagraph"/>
        <w:spacing w:line="360" w:lineRule="auto"/>
        <w:ind w:left="360" w:hanging="360"/>
        <w:rPr>
          <w:rFonts w:ascii="Verdana" w:hAnsi="Verdana"/>
          <w:b/>
        </w:rPr>
      </w:pPr>
      <w:r w:rsidRPr="004856DF">
        <w:rPr>
          <w:rFonts w:ascii="Verdana" w:hAnsi="Verdana"/>
          <w:b/>
        </w:rPr>
        <w:t>Update dynamic settings</w:t>
      </w:r>
    </w:p>
    <w:p w:rsidR="00FE2782" w:rsidRPr="004856DF" w:rsidRDefault="00FE2782" w:rsidP="005C2C63">
      <w:pPr>
        <w:pStyle w:val="ListParagraph"/>
        <w:spacing w:line="360" w:lineRule="auto"/>
        <w:ind w:left="0"/>
        <w:rPr>
          <w:rFonts w:ascii="Verdana" w:hAnsi="Verdana"/>
        </w:rPr>
      </w:pPr>
      <w:r w:rsidRPr="004856DF">
        <w:rPr>
          <w:rFonts w:ascii="Verdana" w:hAnsi="Verdana"/>
        </w:rPr>
        <w:t>An administrator is able to change some configuration settings</w:t>
      </w:r>
      <w:r w:rsidR="005C2C63">
        <w:rPr>
          <w:rFonts w:ascii="Verdana" w:hAnsi="Verdana"/>
        </w:rPr>
        <w:t xml:space="preserve"> at runtime, without restarting </w:t>
      </w:r>
      <w:r w:rsidRPr="004856DF">
        <w:rPr>
          <w:rFonts w:ascii="Verdana" w:hAnsi="Verdana"/>
        </w:rPr>
        <w:t>the service.</w:t>
      </w:r>
    </w:p>
    <w:p w:rsidR="00FE2782" w:rsidRPr="005C2C63" w:rsidRDefault="00FE2782" w:rsidP="004856DF">
      <w:pPr>
        <w:pStyle w:val="ListParagraph"/>
        <w:spacing w:line="360" w:lineRule="auto"/>
        <w:ind w:left="360" w:hanging="360"/>
        <w:rPr>
          <w:rFonts w:ascii="Verdana" w:hAnsi="Verdana"/>
          <w:color w:val="7030A0"/>
        </w:rPr>
      </w:pPr>
      <w:r w:rsidRPr="005C2C63">
        <w:rPr>
          <w:rFonts w:ascii="Verdana" w:hAnsi="Verdana"/>
          <w:color w:val="7030A0"/>
        </w:rPr>
        <w:t>CALL dbms.setConfigValue('dbms.logs.query.enabled', 'info')</w:t>
      </w:r>
    </w:p>
    <w:p w:rsidR="004A4CF3" w:rsidRPr="004856DF" w:rsidRDefault="00D01D27" w:rsidP="004856DF">
      <w:pPr>
        <w:pStyle w:val="Heading1"/>
        <w:spacing w:line="360" w:lineRule="auto"/>
        <w:rPr>
          <w:rFonts w:ascii="Verdana" w:hAnsi="Verdana"/>
          <w:sz w:val="26"/>
        </w:rPr>
      </w:pPr>
      <w:r w:rsidRPr="004856DF">
        <w:rPr>
          <w:rFonts w:ascii="Verdana" w:hAnsi="Verdana"/>
          <w:sz w:val="26"/>
        </w:rPr>
        <w:t>Transaction logs</w:t>
      </w:r>
    </w:p>
    <w:p w:rsidR="004856DF" w:rsidRDefault="004856DF" w:rsidP="004856DF">
      <w:pPr>
        <w:spacing w:line="360" w:lineRule="auto"/>
        <w:rPr>
          <w:rFonts w:ascii="Verdana" w:hAnsi="Verdana"/>
        </w:rPr>
      </w:pPr>
      <w:r w:rsidRPr="004856DF">
        <w:rPr>
          <w:rFonts w:ascii="Verdana" w:hAnsi="Verdana"/>
        </w:rPr>
        <w:t>The transaction logs record all write operations in the database</w:t>
      </w:r>
    </w:p>
    <w:p w:rsidR="00D64459" w:rsidRPr="004856DF" w:rsidRDefault="00D64459" w:rsidP="004856DF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Important </w:t>
      </w:r>
      <w:r w:rsidRPr="00D64459">
        <w:rPr>
          <w:rFonts w:ascii="Verdana" w:hAnsi="Verdana"/>
        </w:rPr>
        <w:t>configuration settings for transaction logging:</w:t>
      </w:r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1350"/>
        <w:gridCol w:w="4680"/>
      </w:tblGrid>
      <w:tr w:rsidR="004856DF" w:rsidRPr="004856DF" w:rsidTr="00D64459">
        <w:trPr>
          <w:tblHeader/>
        </w:trPr>
        <w:tc>
          <w:tcPr>
            <w:tcW w:w="4590" w:type="dxa"/>
            <w:tcBorders>
              <w:bottom w:val="single" w:sz="12" w:space="0" w:color="EDF2F7"/>
            </w:tcBorders>
            <w:shd w:val="clear" w:color="auto" w:fill="F7FAFC"/>
            <w:hideMark/>
          </w:tcPr>
          <w:p w:rsidR="004856DF" w:rsidRPr="005C2C63" w:rsidRDefault="004856DF" w:rsidP="004856DF">
            <w:pPr>
              <w:suppressAutoHyphens w:val="0"/>
              <w:spacing w:line="360" w:lineRule="auto"/>
              <w:rPr>
                <w:rFonts w:ascii="Verdana" w:hAnsi="Verdana"/>
                <w:b/>
                <w:bCs/>
                <w:color w:val="2D3748"/>
                <w:sz w:val="18"/>
                <w:szCs w:val="18"/>
              </w:rPr>
            </w:pPr>
            <w:r w:rsidRPr="005C2C63">
              <w:rPr>
                <w:rFonts w:ascii="Verdana" w:hAnsi="Verdana"/>
                <w:b/>
                <w:bCs/>
                <w:color w:val="2D3748"/>
                <w:sz w:val="18"/>
                <w:szCs w:val="18"/>
              </w:rPr>
              <w:t>Transaction log configuration</w:t>
            </w:r>
          </w:p>
        </w:tc>
        <w:tc>
          <w:tcPr>
            <w:tcW w:w="1350" w:type="dxa"/>
            <w:tcBorders>
              <w:bottom w:val="single" w:sz="12" w:space="0" w:color="EDF2F7"/>
            </w:tcBorders>
            <w:shd w:val="clear" w:color="auto" w:fill="F7FAFC"/>
            <w:hideMark/>
          </w:tcPr>
          <w:p w:rsidR="004856DF" w:rsidRPr="005C2C63" w:rsidRDefault="004856DF" w:rsidP="004856DF">
            <w:pPr>
              <w:spacing w:line="360" w:lineRule="auto"/>
              <w:rPr>
                <w:rFonts w:ascii="Verdana" w:hAnsi="Verdana"/>
                <w:b/>
                <w:bCs/>
                <w:color w:val="2D3748"/>
                <w:sz w:val="18"/>
                <w:szCs w:val="18"/>
              </w:rPr>
            </w:pPr>
            <w:r w:rsidRPr="005C2C63">
              <w:rPr>
                <w:rFonts w:ascii="Verdana" w:hAnsi="Verdana"/>
                <w:b/>
                <w:bCs/>
                <w:color w:val="2D3748"/>
                <w:sz w:val="18"/>
                <w:szCs w:val="18"/>
              </w:rPr>
              <w:t>Default value</w:t>
            </w:r>
          </w:p>
        </w:tc>
        <w:tc>
          <w:tcPr>
            <w:tcW w:w="4680" w:type="dxa"/>
            <w:tcBorders>
              <w:bottom w:val="single" w:sz="12" w:space="0" w:color="EDF2F7"/>
            </w:tcBorders>
            <w:shd w:val="clear" w:color="auto" w:fill="F7FAFC"/>
            <w:hideMark/>
          </w:tcPr>
          <w:p w:rsidR="004856DF" w:rsidRPr="005C2C63" w:rsidRDefault="004856DF" w:rsidP="004856DF">
            <w:pPr>
              <w:spacing w:line="360" w:lineRule="auto"/>
              <w:rPr>
                <w:rFonts w:ascii="Verdana" w:hAnsi="Verdana"/>
                <w:b/>
                <w:bCs/>
                <w:color w:val="2D3748"/>
                <w:sz w:val="18"/>
                <w:szCs w:val="18"/>
              </w:rPr>
            </w:pPr>
            <w:r w:rsidRPr="005C2C63">
              <w:rPr>
                <w:rFonts w:ascii="Verdana" w:hAnsi="Verdana"/>
                <w:b/>
                <w:bCs/>
                <w:color w:val="2D3748"/>
                <w:sz w:val="18"/>
                <w:szCs w:val="18"/>
              </w:rPr>
              <w:t>Description</w:t>
            </w:r>
          </w:p>
        </w:tc>
      </w:tr>
      <w:tr w:rsidR="004856DF" w:rsidRPr="004856DF" w:rsidTr="00D64459">
        <w:tc>
          <w:tcPr>
            <w:tcW w:w="459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4856DF" w:rsidRPr="005C2C63" w:rsidRDefault="00F62293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hyperlink r:id="rId20" w:anchor="config_dbms.directories.transaction.logs.root" w:history="1">
              <w:r w:rsidR="004856DF" w:rsidRPr="005C2C63">
                <w:rPr>
                  <w:rStyle w:val="Hyperlink"/>
                  <w:rFonts w:ascii="Verdana" w:hAnsi="Verdana" w:cs="Courier New"/>
                  <w:b/>
                  <w:bCs/>
                  <w:color w:val="3182CE"/>
                  <w:sz w:val="18"/>
                  <w:szCs w:val="18"/>
                  <w:shd w:val="clear" w:color="auto" w:fill="F7FAFC"/>
                </w:rPr>
                <w:t>dbms.directories.transaction.logs.root</w:t>
              </w:r>
            </w:hyperlink>
          </w:p>
        </w:tc>
        <w:tc>
          <w:tcPr>
            <w:tcW w:w="135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4856DF" w:rsidRPr="005C2C63" w:rsidRDefault="004856DF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r w:rsidRPr="005C2C63">
              <w:rPr>
                <w:rStyle w:val="HTMLCode"/>
                <w:rFonts w:ascii="Verdana" w:hAnsi="Verdana"/>
                <w:color w:val="4A5568"/>
                <w:sz w:val="18"/>
                <w:szCs w:val="18"/>
                <w:shd w:val="clear" w:color="auto" w:fill="F7FAFC"/>
              </w:rPr>
              <w:t>transactions</w:t>
            </w:r>
          </w:p>
        </w:tc>
        <w:tc>
          <w:tcPr>
            <w:tcW w:w="468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4856DF" w:rsidRPr="005C2C63" w:rsidRDefault="004856DF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r w:rsidRPr="005C2C63">
              <w:rPr>
                <w:rFonts w:ascii="Verdana" w:hAnsi="Verdana"/>
                <w:color w:val="2D3748"/>
                <w:sz w:val="18"/>
                <w:szCs w:val="18"/>
              </w:rPr>
              <w:t>Root location where Neo4j will store transaction logs for configured databases.</w:t>
            </w:r>
          </w:p>
        </w:tc>
      </w:tr>
      <w:tr w:rsidR="004856DF" w:rsidRPr="004856DF" w:rsidTr="00D64459">
        <w:tc>
          <w:tcPr>
            <w:tcW w:w="459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4856DF" w:rsidRPr="005C2C63" w:rsidRDefault="00F62293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hyperlink r:id="rId21" w:anchor="config_dbms.tx_log.rotation.retention_policy" w:history="1">
              <w:r w:rsidR="004856DF" w:rsidRPr="005C2C63">
                <w:rPr>
                  <w:rStyle w:val="Hyperlink"/>
                  <w:rFonts w:ascii="Verdana" w:hAnsi="Verdana" w:cs="Courier New"/>
                  <w:b/>
                  <w:bCs/>
                  <w:color w:val="3182CE"/>
                  <w:sz w:val="18"/>
                  <w:szCs w:val="18"/>
                  <w:shd w:val="clear" w:color="auto" w:fill="F7FAFC"/>
                </w:rPr>
                <w:t>dbms.tx_log.rotation.retention_policy</w:t>
              </w:r>
            </w:hyperlink>
          </w:p>
        </w:tc>
        <w:tc>
          <w:tcPr>
            <w:tcW w:w="135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4856DF" w:rsidRPr="005C2C63" w:rsidRDefault="004856DF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r w:rsidRPr="005C2C63">
              <w:rPr>
                <w:rStyle w:val="HTMLCode"/>
                <w:rFonts w:ascii="Verdana" w:hAnsi="Verdana"/>
                <w:color w:val="4A5568"/>
                <w:sz w:val="18"/>
                <w:szCs w:val="18"/>
                <w:shd w:val="clear" w:color="auto" w:fill="F7FAFC"/>
              </w:rPr>
              <w:t>7 days</w:t>
            </w:r>
          </w:p>
        </w:tc>
        <w:tc>
          <w:tcPr>
            <w:tcW w:w="4680" w:type="dxa"/>
            <w:tcBorders>
              <w:top w:val="single" w:sz="6" w:space="0" w:color="EDF2F7"/>
              <w:bottom w:val="single" w:sz="6" w:space="0" w:color="EDF2F7"/>
            </w:tcBorders>
            <w:shd w:val="clear" w:color="auto" w:fill="FFFFFF"/>
            <w:hideMark/>
          </w:tcPr>
          <w:p w:rsidR="004856DF" w:rsidRPr="005C2C63" w:rsidRDefault="004856DF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r w:rsidRPr="005C2C63">
              <w:rPr>
                <w:rFonts w:ascii="Verdana" w:hAnsi="Verdana"/>
                <w:color w:val="2D3748"/>
                <w:sz w:val="18"/>
                <w:szCs w:val="18"/>
              </w:rPr>
              <w:t>Make Neo4j keep the logical transaction logs for being able to backup the database. Can be used for specifying the threshold to prune logical logs after.</w:t>
            </w:r>
          </w:p>
        </w:tc>
      </w:tr>
      <w:tr w:rsidR="004856DF" w:rsidRPr="004856DF" w:rsidTr="00D64459">
        <w:tc>
          <w:tcPr>
            <w:tcW w:w="4590" w:type="dxa"/>
            <w:tcBorders>
              <w:top w:val="single" w:sz="6" w:space="0" w:color="EDF2F7"/>
              <w:bottom w:val="single" w:sz="18" w:space="0" w:color="E2E8F0"/>
            </w:tcBorders>
            <w:shd w:val="clear" w:color="auto" w:fill="FFFFFF"/>
            <w:hideMark/>
          </w:tcPr>
          <w:p w:rsidR="004856DF" w:rsidRPr="005C2C63" w:rsidRDefault="00F62293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hyperlink r:id="rId22" w:anchor="config_dbms.tx_log.rotation.size" w:history="1">
              <w:r w:rsidR="004856DF" w:rsidRPr="005C2C63">
                <w:rPr>
                  <w:rStyle w:val="Hyperlink"/>
                  <w:rFonts w:ascii="Verdana" w:hAnsi="Verdana" w:cs="Courier New"/>
                  <w:b/>
                  <w:bCs/>
                  <w:color w:val="3182CE"/>
                  <w:sz w:val="18"/>
                  <w:szCs w:val="18"/>
                  <w:shd w:val="clear" w:color="auto" w:fill="F7FAFC"/>
                </w:rPr>
                <w:t>dbms.tx_log.rotation.size</w:t>
              </w:r>
            </w:hyperlink>
          </w:p>
        </w:tc>
        <w:tc>
          <w:tcPr>
            <w:tcW w:w="1350" w:type="dxa"/>
            <w:tcBorders>
              <w:top w:val="single" w:sz="6" w:space="0" w:color="EDF2F7"/>
              <w:bottom w:val="single" w:sz="18" w:space="0" w:color="E2E8F0"/>
            </w:tcBorders>
            <w:shd w:val="clear" w:color="auto" w:fill="FFFFFF"/>
            <w:hideMark/>
          </w:tcPr>
          <w:p w:rsidR="004856DF" w:rsidRPr="005C2C63" w:rsidRDefault="004856DF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r w:rsidRPr="005C2C63">
              <w:rPr>
                <w:rStyle w:val="HTMLCode"/>
                <w:rFonts w:ascii="Verdana" w:hAnsi="Verdana"/>
                <w:color w:val="4A5568"/>
                <w:sz w:val="18"/>
                <w:szCs w:val="18"/>
                <w:shd w:val="clear" w:color="auto" w:fill="F7FAFC"/>
              </w:rPr>
              <w:t>250M</w:t>
            </w:r>
          </w:p>
        </w:tc>
        <w:tc>
          <w:tcPr>
            <w:tcW w:w="4680" w:type="dxa"/>
            <w:tcBorders>
              <w:top w:val="single" w:sz="6" w:space="0" w:color="EDF2F7"/>
              <w:bottom w:val="single" w:sz="18" w:space="0" w:color="E2E8F0"/>
            </w:tcBorders>
            <w:shd w:val="clear" w:color="auto" w:fill="FFFFFF"/>
            <w:hideMark/>
          </w:tcPr>
          <w:p w:rsidR="004856DF" w:rsidRPr="005C2C63" w:rsidRDefault="004856DF" w:rsidP="004856DF">
            <w:pPr>
              <w:pStyle w:val="tableblock"/>
              <w:spacing w:before="0" w:beforeAutospacing="0" w:after="0" w:afterAutospacing="0" w:line="360" w:lineRule="auto"/>
              <w:rPr>
                <w:rFonts w:ascii="Verdana" w:hAnsi="Verdana"/>
                <w:color w:val="2D3748"/>
                <w:sz w:val="18"/>
                <w:szCs w:val="18"/>
              </w:rPr>
            </w:pPr>
            <w:r w:rsidRPr="005C2C63">
              <w:rPr>
                <w:rFonts w:ascii="Verdana" w:hAnsi="Verdana"/>
                <w:color w:val="2D3748"/>
                <w:sz w:val="18"/>
                <w:szCs w:val="18"/>
              </w:rPr>
              <w:t>Specifies at which file size the logical log will auto-rotate. Minimum accepted value is </w:t>
            </w:r>
            <w:r w:rsidRPr="005C2C63">
              <w:rPr>
                <w:rStyle w:val="HTMLCode"/>
                <w:rFonts w:ascii="Verdana" w:hAnsi="Verdana"/>
                <w:color w:val="4A5568"/>
                <w:sz w:val="18"/>
                <w:szCs w:val="18"/>
                <w:shd w:val="clear" w:color="auto" w:fill="F7FAFC"/>
              </w:rPr>
              <w:t>128K</w:t>
            </w:r>
            <w:r w:rsidRPr="005C2C63">
              <w:rPr>
                <w:rFonts w:ascii="Verdana" w:hAnsi="Verdana"/>
                <w:color w:val="2D3748"/>
                <w:sz w:val="18"/>
                <w:szCs w:val="18"/>
              </w:rPr>
              <w:t> (128 KiB).</w:t>
            </w:r>
          </w:p>
        </w:tc>
      </w:tr>
    </w:tbl>
    <w:p w:rsidR="004856DF" w:rsidRDefault="004856DF" w:rsidP="005C2C63">
      <w:pPr>
        <w:pStyle w:val="Textbody"/>
        <w:spacing w:line="360" w:lineRule="auto"/>
        <w:rPr>
          <w:rFonts w:ascii="Verdana" w:hAnsi="Verdana"/>
        </w:rPr>
      </w:pP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CALL dbms.listConfig()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YIELD name, value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WHERE name="dbms.directories.transaction.logs.root"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RETURN name, value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lastRenderedPageBreak/>
        <w:t>ORDER BY name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CALL dbms.listConfig()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YIELD name, value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WHERE name="dbms.tx_log.rotation.retention_policy"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RETURN name, value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ORDER BY name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bookmarkStart w:id="0" w:name="_GoBack"/>
      <w:r w:rsidRPr="00261EDB">
        <w:rPr>
          <w:rFonts w:ascii="Verdana" w:hAnsi="Verdana"/>
          <w:color w:val="7030A0"/>
          <w:sz w:val="18"/>
          <w:szCs w:val="18"/>
        </w:rPr>
        <w:t>CALL dbms.listConfig()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YIELD name, value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WHERE name="dbms.tx_log.rotation.size"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RETURN name, value</w:t>
      </w:r>
    </w:p>
    <w:p w:rsidR="00261EDB" w:rsidRPr="00261EDB" w:rsidRDefault="00261EDB" w:rsidP="00261EDB">
      <w:pPr>
        <w:pStyle w:val="Textbody"/>
        <w:spacing w:line="360" w:lineRule="auto"/>
        <w:rPr>
          <w:rFonts w:ascii="Verdana" w:hAnsi="Verdana"/>
          <w:color w:val="7030A0"/>
          <w:sz w:val="18"/>
          <w:szCs w:val="18"/>
        </w:rPr>
      </w:pPr>
      <w:r w:rsidRPr="00261EDB">
        <w:rPr>
          <w:rFonts w:ascii="Verdana" w:hAnsi="Verdana"/>
          <w:color w:val="7030A0"/>
          <w:sz w:val="18"/>
          <w:szCs w:val="18"/>
        </w:rPr>
        <w:t>ORDER BY name</w:t>
      </w:r>
      <w:bookmarkEnd w:id="0"/>
    </w:p>
    <w:sectPr w:rsidR="00261EDB" w:rsidRPr="00261EDB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93" w:rsidRDefault="00F62293">
      <w:r>
        <w:separator/>
      </w:r>
    </w:p>
  </w:endnote>
  <w:endnote w:type="continuationSeparator" w:id="0">
    <w:p w:rsidR="00F62293" w:rsidRDefault="00F6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93" w:rsidRDefault="00F62293">
      <w:r>
        <w:rPr>
          <w:color w:val="000000"/>
        </w:rPr>
        <w:separator/>
      </w:r>
    </w:p>
  </w:footnote>
  <w:footnote w:type="continuationSeparator" w:id="0">
    <w:p w:rsidR="00F62293" w:rsidRDefault="00F6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B4054"/>
    <w:multiLevelType w:val="hybridMultilevel"/>
    <w:tmpl w:val="7ED4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F3"/>
    <w:rsid w:val="00261EDB"/>
    <w:rsid w:val="00267162"/>
    <w:rsid w:val="00285D74"/>
    <w:rsid w:val="004856DF"/>
    <w:rsid w:val="004A4CF3"/>
    <w:rsid w:val="005C2C63"/>
    <w:rsid w:val="00665740"/>
    <w:rsid w:val="006B12F9"/>
    <w:rsid w:val="00715808"/>
    <w:rsid w:val="008A1CCC"/>
    <w:rsid w:val="008A7194"/>
    <w:rsid w:val="008F53E9"/>
    <w:rsid w:val="00966AEE"/>
    <w:rsid w:val="00974CE5"/>
    <w:rsid w:val="00AD3BDB"/>
    <w:rsid w:val="00AE4B7A"/>
    <w:rsid w:val="00B423BF"/>
    <w:rsid w:val="00D01D27"/>
    <w:rsid w:val="00D40B44"/>
    <w:rsid w:val="00D64459"/>
    <w:rsid w:val="00DE4DCE"/>
    <w:rsid w:val="00E95652"/>
    <w:rsid w:val="00EC30ED"/>
    <w:rsid w:val="00F62293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FEB60-0B67-421A-8FA7-EABE4760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table" w:styleId="TableGrid">
    <w:name w:val="Table Grid"/>
    <w:basedOn w:val="TableNormal"/>
    <w:uiPriority w:val="39"/>
    <w:rsid w:val="006B1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4DCE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DCE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E4DCE"/>
    <w:pPr>
      <w:suppressAutoHyphens/>
    </w:pPr>
    <w:rPr>
      <w:rFonts w:cs="Mangal"/>
      <w:szCs w:val="21"/>
    </w:rPr>
  </w:style>
  <w:style w:type="paragraph" w:customStyle="1" w:styleId="tableblock">
    <w:name w:val="tableblock"/>
    <w:basedOn w:val="Normal"/>
    <w:rsid w:val="00DE4D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DE4D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4DC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85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docs/operations-manual/current/reference/configuration-settings/" TargetMode="External"/><Relationship Id="rId13" Type="http://schemas.openxmlformats.org/officeDocument/2006/relationships/hyperlink" Target="https://neo4j.com/docs/operations-manual/current/reference/configuration-settings/" TargetMode="External"/><Relationship Id="rId18" Type="http://schemas.openxmlformats.org/officeDocument/2006/relationships/hyperlink" Target="https://neo4j.com/docs/operations-manual/current/reference/configuration-setting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o4j.com/docs/operations-manual/current/reference/configuration-settings/" TargetMode="External"/><Relationship Id="rId7" Type="http://schemas.openxmlformats.org/officeDocument/2006/relationships/hyperlink" Target="https://neo4j.com/docs/operations-manual/current/reference/configuration-settings/" TargetMode="External"/><Relationship Id="rId12" Type="http://schemas.openxmlformats.org/officeDocument/2006/relationships/hyperlink" Target="https://neo4j.com/docs/operations-manual/current/reference/configuration-settings/" TargetMode="External"/><Relationship Id="rId17" Type="http://schemas.openxmlformats.org/officeDocument/2006/relationships/hyperlink" Target="https://neo4j.com/docs/operations-manual/current/reference/configuration-settin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o4j.com/docs/operations-manual/current/reference/configuration-settings/" TargetMode="External"/><Relationship Id="rId20" Type="http://schemas.openxmlformats.org/officeDocument/2006/relationships/hyperlink" Target="https://neo4j.com/docs/operations-manual/current/reference/configuration-setting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ocs/operations-manual/current/reference/configuration-setting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eo4j.com/docs/operations-manual/current/reference/configuration-setting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o4j.com/docs/operations-manual/current/reference/configuration-settings/" TargetMode="External"/><Relationship Id="rId19" Type="http://schemas.openxmlformats.org/officeDocument/2006/relationships/hyperlink" Target="https://neo4j.com/docs/operations-manual/current/reference/configuration-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4j.com/docs/operations-manual/current/reference/configuration-settings/" TargetMode="External"/><Relationship Id="rId14" Type="http://schemas.openxmlformats.org/officeDocument/2006/relationships/hyperlink" Target="https://neo4j.com/docs/operations-manual/current/reference/configuration-settings/" TargetMode="External"/><Relationship Id="rId22" Type="http://schemas.openxmlformats.org/officeDocument/2006/relationships/hyperlink" Target="https://neo4j.com/docs/operations-manual/current/reference/configuration-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Gupta</dc:creator>
  <cp:lastModifiedBy>User</cp:lastModifiedBy>
  <cp:revision>16</cp:revision>
  <dcterms:created xsi:type="dcterms:W3CDTF">2020-10-20T23:10:00Z</dcterms:created>
  <dcterms:modified xsi:type="dcterms:W3CDTF">2020-11-03T11:06:00Z</dcterms:modified>
</cp:coreProperties>
</file>