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ATIN SHARMA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Full-Stack Product Engineer  |  AI Systems  |  RAG Pipelines  |  WhatsApp Automation</w:t>
      </w:r>
    </w:p>
    <w:p>
      <w:pPr>
        <w:spacing w:after="30" w:before="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atinsharma24@gmail.com  |  +91 82185 02886  |  github.com/atinsharma24/  |  linkedin.com/in/atinsharma24/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Agra, Uttar Pradesh, India — Open to Remote &amp; Relocation</w:t>
      </w:r>
    </w:p>
    <w:p>
      <w:pPr>
        <w:pBdr>
          <w:bottom w:val="single" w:color="AAAAAA" w:sz="6" w:space="4"/>
        </w:pBdr>
        <w:spacing w:after="50" w:before="160"/>
      </w:pPr>
      <w:r>
        <w:rPr>
          <w:rFonts w:ascii="Calibri" w:cs="Calibri" w:eastAsia="Calibri" w:hAnsi="Calibri"/>
          <w:b/>
          <w:bCs/>
          <w:caps/>
          <w:sz w:val="24"/>
          <w:szCs w:val="24"/>
        </w:rPr>
        <w:t xml:space="preserve">PROFESSIONAL SUMMARY</w:t>
      </w:r>
    </w:p>
    <w:p>
      <w:pPr>
        <w:spacing w:after="80" w:before="80" w:line="276" w:lineRule="auto"/>
      </w:pPr>
      <w:r>
        <w:rPr>
          <w:rFonts w:ascii="Calibri" w:cs="Calibri" w:eastAsia="Calibri" w:hAnsi="Calibri"/>
          <w:sz w:val="21"/>
          <w:szCs w:val="21"/>
        </w:rPr>
        <w:t xml:space="preserve">Founding engineer with 12 months of production experience building AI-powered full-stack systems at OpenBiz Software India Pvt Ltd — one of three engineers who shipped two commercial products from zero to 1,000+ active Indian SMB users. Specializes in MERN + AI stacks (TypeScript, Node.js, Python, PostgreSQL) with hands-on production delivery across conversational AI (VyaparGPT, WhatsApp-native LLM assistant for 40+ SMB pilot businesses), production RAG pipelines (Nimbus on pgvector + Groq; DocGPT on ChromaDB), and resilient DevOps (GitHub Actions + Vercel CI/CD reducing deployment cycle time by 30%). Technical scope spans full-stack product engineering, dual-model LLM provider-fallback (OpenAI ↔ Gemini), idempotent Razorpay billing, real-time Socket.IO infrastructure, and autonomous multi-agent web automation (Claude 3.5 Sonnet + MCP). Immediate joiner (0-day notice) targeting 15–18 LPA in founding-stage or early-product roles with full-stack ownership. VIT Vellore, B.Tech Computer Science Engineering, graduating May 2026.</w:t>
      </w:r>
    </w:p>
    <w:p>
      <w:pPr>
        <w:pBdr>
          <w:bottom w:val="single" w:color="AAAAAA" w:sz="6" w:space="4"/>
        </w:pBdr>
        <w:spacing w:after="50" w:before="160"/>
      </w:pPr>
      <w:r>
        <w:rPr>
          <w:rFonts w:ascii="Calibri" w:cs="Calibri" w:eastAsia="Calibri" w:hAnsi="Calibri"/>
          <w:b/>
          <w:bCs/>
          <w:caps/>
          <w:sz w:val="24"/>
          <w:szCs w:val="24"/>
        </w:rPr>
        <w:t xml:space="preserve">KEY METRICS</w:t>
      </w:r>
    </w:p>
    <w:p>
      <w:pPr>
        <w:spacing w:after="0" w:before="6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API Latency Reduction: 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40%</w:t>
            </w:r>
          </w:p>
        </w:tc>
        <w:tc>
          <w:tcPr>
            <w:tcW w:type="dxa" w:w="49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Platform Active Users: 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1,000+</w:t>
            </w:r>
          </w:p>
        </w:tc>
      </w:tr>
      <w:tr>
        <w:tc>
          <w:tcPr>
            <w:tcW w:type="dxa" w:w="49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Deployment Cycle Faster: 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30%</w:t>
            </w:r>
          </w:p>
        </w:tc>
        <w:tc>
          <w:tcPr>
            <w:tcW w:type="dxa" w:w="49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VyaparGPT SMB Pilot: 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40 businesses</w:t>
            </w:r>
          </w:p>
        </w:tc>
      </w:tr>
      <w:tr>
        <w:tc>
          <w:tcPr>
            <w:tcW w:type="dxa" w:w="49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Shared Infra Reuse (Website Builder): 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~60%</w:t>
            </w:r>
          </w:p>
        </w:tc>
        <w:tc>
          <w:tcPr>
            <w:tcW w:type="dxa" w:w="49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LeetCode Problems Solved: 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347</w:t>
            </w:r>
          </w:p>
        </w:tc>
      </w:tr>
      <w:tr>
        <w:tc>
          <w:tcPr>
            <w:tcW w:type="dxa" w:w="49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Founding Team Size: 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3 engineers</w:t>
            </w:r>
          </w:p>
        </w:tc>
        <w:tc>
          <w:tcPr>
            <w:tcW w:type="dxa" w:w="49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Zero Broken-Build Incidents: 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4 months post CI/CD</w:t>
            </w:r>
          </w:p>
        </w:tc>
      </w:tr>
    </w:tbl>
    <w:p>
      <w:pPr>
        <w:spacing w:after="80" w:before="0"/>
      </w:pPr>
    </w:p>
    <w:p>
      <w:pPr>
        <w:pBdr>
          <w:bottom w:val="single" w:color="AAAAAA" w:sz="6" w:space="4"/>
        </w:pBdr>
        <w:spacing w:after="50" w:before="160"/>
      </w:pPr>
      <w:r>
        <w:rPr>
          <w:rFonts w:ascii="Calibri" w:cs="Calibri" w:eastAsia="Calibri" w:hAnsi="Calibri"/>
          <w:b/>
          <w:bCs/>
          <w:caps/>
          <w:sz w:val="24"/>
          <w:szCs w:val="24"/>
        </w:rPr>
        <w:t xml:space="preserve">PROFESSIONAL EXPERIENCE</w:t>
      </w:r>
    </w:p>
    <w:p>
      <w:pPr>
        <w:spacing w:after="30" w:before="110" w:line="276" w:lineRule="auto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OpenBiz Software India Pvt Ltd</w:t>
      </w:r>
      <w:r>
        <w:rPr>
          <w:rFonts w:ascii="Calibri" w:cs="Calibri" w:eastAsia="Calibri" w:hAnsi="Calibri"/>
          <w:sz w:val="21"/>
          <w:szCs w:val="21"/>
        </w:rPr>
        <w:t xml:space="preserve">  |  Founding Engineer  |  Jun 2025 – May 2026  |  Remote / Bangalore</w:t>
      </w:r>
    </w:p>
    <w:p>
      <w:pPr>
        <w:spacing w:after="40" w:before="0" w:line="276" w:lineRule="auto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One of three founding technical leads; architected and shipped two AI-powered SaaS products for the Indian SMB market on the MERN stack.</w:t>
      </w:r>
    </w:p>
    <w:p>
      <w:pPr>
        <w:pStyle w:val="ListParagraph"/>
        <w:numPr>
          <w:ilvl w:val="0"/>
          <w:numId w:val="2"/>
        </w:numPr>
        <w:spacing w:after="30" w:before="0" w:line="276" w:lineRule="auto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Architected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VyaparGPT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, a WhatsApp-native LLM assistant in Node.js: designed the full message lifecycle (WhatsApp Business API webhook ingestion → HMAC-SHA256 validation → session context lookup → LLM dispatch → response delivery), serving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40+ SMBs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in closed pilot and scaling to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1,000+ active platform users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. Multi-turn conversational context via rolling conversation_history[] enables natural follow-up queries.</w:t>
      </w:r>
    </w:p>
    <w:p>
      <w:pPr>
        <w:pStyle w:val="ListParagraph"/>
        <w:numPr>
          <w:ilvl w:val="0"/>
          <w:numId w:val="2"/>
        </w:numPr>
        <w:spacing w:after="30" w:before="0" w:line="276" w:lineRule="auto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Engineered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LLM provider-fallback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(OpenAI → Google Gemini): on HTTP 5xx, 429 rate-limit, or configurable timeout, requests are transparently rerouted with response-shape normalization — zero failure surface exposed to users.</w:t>
      </w:r>
    </w:p>
    <w:p>
      <w:pPr>
        <w:pStyle w:val="ListParagraph"/>
        <w:numPr>
          <w:ilvl w:val="0"/>
          <w:numId w:val="2"/>
        </w:numPr>
        <w:spacing w:after="30" w:before="0" w:line="276" w:lineRule="auto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Built 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Gemini Vision API document verification module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extracting structured fields (GST number, business name, invoice amount, dates) from WhatsApp photographs of GST certificates and vendor agreements, eliminating a manual data-entry step in SMB onboarding.</w:t>
      </w:r>
    </w:p>
    <w:p>
      <w:pPr>
        <w:pStyle w:val="ListParagraph"/>
        <w:numPr>
          <w:ilvl w:val="0"/>
          <w:numId w:val="2"/>
        </w:numPr>
        <w:spacing w:after="30" w:before="0" w:line="276" w:lineRule="auto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Resolved critical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N+1 query patterns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in Supabase (PostgreSQL): rewrote ORM calls to JOIN-based queries, introduced composite indexes on high-frequency WHERE/JOIN columns, and added TTL-based response caching — achieving verified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40% API latency reduction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at 1,000+ user scale.</w:t>
      </w:r>
    </w:p>
    <w:p>
      <w:pPr>
        <w:pStyle w:val="ListParagraph"/>
        <w:numPr>
          <w:ilvl w:val="0"/>
          <w:numId w:val="2"/>
        </w:numPr>
        <w:spacing w:after="30" w:before="0" w:line="276" w:lineRule="auto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Built and owned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GitHub Actions + Vercel CI/CD pipeline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from scratch: automated testing on every PR, staging deploys on merge, production gated behind explicit approval, branch protection rules — driving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30% reduction in deployment cycle time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and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zero broken-build incidents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over four months.</w:t>
      </w:r>
    </w:p>
    <w:p>
      <w:pPr>
        <w:pStyle w:val="ListParagraph"/>
        <w:numPr>
          <w:ilvl w:val="0"/>
          <w:numId w:val="2"/>
        </w:numPr>
        <w:spacing w:after="30" w:before="0" w:line="276" w:lineRule="auto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Delivered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Automated Content Intelligence Pipeline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: Puppeteer-based headless scraping (waitUntil: 'networkidle2' for SPA hydration), TypeScript normalization, dual-model AI rewriting (Gemini primary → OpenAI failover per article), React 19 Diff View for human-in-the-loop editorial approval, Dockerized microservices on GitHub Actions cron schedule.</w:t>
      </w:r>
    </w:p>
    <w:p>
      <w:pPr>
        <w:pStyle w:val="ListParagraph"/>
        <w:numPr>
          <w:ilvl w:val="0"/>
          <w:numId w:val="2"/>
        </w:numPr>
        <w:spacing w:after="30" w:before="0" w:line="276" w:lineRule="auto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Shipped a parallel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Website Builder product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within a 6-week window at zero headcount increase by auditing and reusing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~60% of shared infrastructure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(auth, Supabase layer, Razorpay billing, CI/CD); restructured sprint cadence to separate greenfield work from maintenance load.</w:t>
      </w:r>
    </w:p>
    <w:p>
      <w:pPr>
        <w:pStyle w:val="ListParagraph"/>
        <w:numPr>
          <w:ilvl w:val="0"/>
          <w:numId w:val="2"/>
        </w:numPr>
        <w:spacing w:after="30" w:before="0" w:line="276" w:lineRule="auto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Implemented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idempotent Razorpay subscription billing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: HMAC webhook validation, payment-state reconciliation, out-of-order event handling via re-entrant idempotency check — achieving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100% payment-state consistency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across all paying customers.</w:t>
      </w:r>
    </w:p>
    <w:p>
      <w:pPr>
        <w:spacing w:after="30" w:before="110" w:line="276" w:lineRule="auto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Vellore Institute of Technology</w:t>
      </w:r>
      <w:r>
        <w:rPr>
          <w:rFonts w:ascii="Calibri" w:cs="Calibri" w:eastAsia="Calibri" w:hAnsi="Calibri"/>
          <w:sz w:val="21"/>
          <w:szCs w:val="21"/>
        </w:rPr>
        <w:t xml:space="preserve">  |  Research Contributor  |  Jan 2025 – Nov 2025  |  Vellore (On-campus)</w:t>
      </w:r>
    </w:p>
    <w:p>
      <w:pPr>
        <w:pStyle w:val="ListParagraph"/>
        <w:numPr>
          <w:ilvl w:val="0"/>
          <w:numId w:val="2"/>
        </w:numPr>
        <w:spacing w:after="30" w:before="0" w:line="276" w:lineRule="auto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Contributed to research on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Blockchain-Based LLM Model Using Fully Homomorphic Encryption (FHE) for Academic Records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— investigating how FHE enables computation on encrypted student data without decryption, with blockchain providing an immutable audit trail for credential issuance and verification.</w:t>
      </w:r>
    </w:p>
    <w:p>
      <w:pPr>
        <w:pStyle w:val="ListParagraph"/>
        <w:numPr>
          <w:ilvl w:val="0"/>
          <w:numId w:val="2"/>
        </w:numPr>
        <w:spacing w:after="30" w:before="0" w:line="276" w:lineRule="auto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Evaluated architectural trade-offs between on-chain data storage and off-chain encrypted record pointers, assessing gas cost constraints versus data privacy guarantees in an academic credential provenance system.</w:t>
      </w:r>
    </w:p>
    <w:p>
      <w:pPr>
        <w:pStyle w:val="ListParagraph"/>
        <w:numPr>
          <w:ilvl w:val="0"/>
          <w:numId w:val="2"/>
        </w:numPr>
        <w:spacing w:after="30" w:before="0" w:line="276" w:lineRule="auto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Explored how model inference could operate on privacy-preserving representations of sensitive academic data using FHE-compatible cryptographic primitives, without exposing plaintext records.</w:t>
      </w:r>
    </w:p>
    <w:p>
      <w:pPr>
        <w:pBdr>
          <w:bottom w:val="single" w:color="AAAAAA" w:sz="6" w:space="4"/>
        </w:pBdr>
        <w:spacing w:after="50" w:before="160"/>
      </w:pPr>
      <w:r>
        <w:rPr>
          <w:rFonts w:ascii="Calibri" w:cs="Calibri" w:eastAsia="Calibri" w:hAnsi="Calibri"/>
          <w:b/>
          <w:bCs/>
          <w:caps/>
          <w:sz w:val="24"/>
          <w:szCs w:val="24"/>
        </w:rPr>
        <w:t xml:space="preserve">PROJECTS</w:t>
      </w:r>
    </w:p>
    <w:p>
      <w:pPr>
        <w:spacing w:after="20" w:before="100" w:line="276" w:lineRule="auto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Nimbus</w:t>
      </w:r>
      <w:r>
        <w:rPr>
          <w:rFonts w:ascii="Calibri" w:cs="Calibri" w:eastAsia="Calibri" w:hAnsi="Calibri"/>
          <w:sz w:val="21"/>
          <w:szCs w:val="21"/>
        </w:rPr>
        <w:t xml:space="preserve"> — AI-First RAG Document Workspace  (in progress)</w:t>
      </w:r>
    </w:p>
    <w:p>
      <w:pPr>
        <w:spacing w:after="20" w:before="0" w:line="276" w:lineRule="auto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Stack: Next.js 14 · TypeScript · PostgreSQL · pgvector · Prisma · NextAuth.js · Groq API · OpenAI</w:t>
      </w:r>
    </w:p>
    <w:p>
      <w:pPr>
        <w:pStyle w:val="ListParagraph"/>
        <w:numPr>
          <w:ilvl w:val="0"/>
          <w:numId w:val="2"/>
        </w:numPr>
        <w:spacing w:after="30" w:before="0" w:line="276" w:lineRule="auto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Production-grade RAG pipeline: async queue-based ingestion (status states: pending → processing → indexed → error), overlap chunking to prevent semantic loss at chunk boundaries, embedding generation, and storage in a pgvector extension column within PostgreSQL.</w:t>
      </w:r>
    </w:p>
    <w:p>
      <w:pPr>
        <w:pStyle w:val="ListParagraph"/>
        <w:numPr>
          <w:ilvl w:val="0"/>
          <w:numId w:val="2"/>
        </w:numPr>
        <w:spacing w:after="30" w:before="0" w:line="276" w:lineRule="auto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Cosine similarity search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via pgvector (embedding &lt;=&gt; query_vector) co-locates vector data with relational metadata (user_id, document_id) for hybrid SQL + semantic filtering —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sub-800ms retrieval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target.</w:t>
      </w:r>
    </w:p>
    <w:p>
      <w:pPr>
        <w:pStyle w:val="ListParagraph"/>
        <w:numPr>
          <w:ilvl w:val="0"/>
          <w:numId w:val="2"/>
        </w:numPr>
        <w:spacing w:after="30" w:before="0" w:line="276" w:lineRule="auto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Provider-agnostic LLM abstraction layer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: single config flag (provider: "groq" | "openai" | "anthropic") routes generation calls — switching inference providers requires zero code changes.</w:t>
      </w:r>
    </w:p>
    <w:p>
      <w:pPr>
        <w:pStyle w:val="ListParagraph"/>
        <w:numPr>
          <w:ilvl w:val="0"/>
          <w:numId w:val="2"/>
        </w:numPr>
        <w:spacing w:after="30" w:before="0" w:line="276" w:lineRule="auto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Streaming responses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via Groq API delivered as SSE, providing real-time token-by-token document Q&amp;A. Ingestion pipeline includes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429 retry logic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(exponential backoff) and per-document status tracking.</w:t>
      </w:r>
    </w:p>
    <w:p>
      <w:pPr>
        <w:spacing w:after="20" w:before="100" w:line="276" w:lineRule="auto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Autonomous Web Agent</w:t>
      </w:r>
      <w:r>
        <w:rPr>
          <w:rFonts w:ascii="Calibri" w:cs="Calibri" w:eastAsia="Calibri" w:hAnsi="Calibri"/>
          <w:sz w:val="21"/>
          <w:szCs w:val="21"/>
        </w:rPr>
        <w:t xml:space="preserve"> — Claude 3.5 Sonnet + MCP Orchestration</w:t>
      </w:r>
    </w:p>
    <w:p>
      <w:pPr>
        <w:spacing w:after="20" w:before="0" w:line="276" w:lineRule="auto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GitHub: github.com/atinsharma24/auto-agent  ·  Stack: Python · Groq API · BrowserOS (MCP) · OpenClaw · Claude 3.5 Sonnet</w:t>
      </w:r>
    </w:p>
    <w:p>
      <w:pPr>
        <w:pStyle w:val="ListParagraph"/>
        <w:numPr>
          <w:ilvl w:val="0"/>
          <w:numId w:val="2"/>
        </w:numPr>
        <w:spacing w:after="30" w:before="0" w:line="276" w:lineRule="auto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Dual-agent architecture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: Executor (Claude 3.5 Sonnet) handles complex multi-step DOM + form reasoning; Watcher (Groq fast inference) validates page state between every transition — separating expensive reasoning from high-frequency cheap polling.</w:t>
      </w:r>
    </w:p>
    <w:p>
      <w:pPr>
        <w:pStyle w:val="ListParagraph"/>
        <w:numPr>
          <w:ilvl w:val="0"/>
          <w:numId w:val="2"/>
        </w:numPr>
        <w:spacing w:after="30" w:before="0" w:line="276" w:lineRule="auto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MCP (Model Context Protocol)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via BrowserOS gives the Executor structured tool-level access to browser DOM (inspect labels, types, values), form-fill, and navigation — intent-driven traversal with no brittle CSS selectors.</w:t>
      </w:r>
    </w:p>
    <w:p>
      <w:pPr>
        <w:pStyle w:val="ListParagraph"/>
        <w:numPr>
          <w:ilvl w:val="0"/>
          <w:numId w:val="2"/>
        </w:numPr>
        <w:spacing w:after="30" w:before="0" w:line="276" w:lineRule="auto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Persistent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local queue manager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(status: pending → in_progress → applied / failed / escalated) with URL deduplication;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WAF/CAPTCHA detection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via DOM fingerprint — Watcher escalates to human, Executor resumes from last checkpoint.</w:t>
      </w:r>
    </w:p>
    <w:p>
      <w:pPr>
        <w:spacing w:after="20" w:before="100" w:line="276" w:lineRule="auto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DocGPT</w:t>
      </w:r>
      <w:r>
        <w:rPr>
          <w:rFonts w:ascii="Calibri" w:cs="Calibri" w:eastAsia="Calibri" w:hAnsi="Calibri"/>
          <w:sz w:val="21"/>
          <w:szCs w:val="21"/>
        </w:rPr>
        <w:t xml:space="preserve"> — RAG Document Assistant</w:t>
      </w:r>
    </w:p>
    <w:p>
      <w:pPr>
        <w:spacing w:after="20" w:before="0" w:line="276" w:lineRule="auto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Stack: React 19 · Python (Django) · ChromaDB · OpenAI GPT-4o-mini · all-MiniLM-L6-v2 · PyPDF2 · Docker</w:t>
      </w:r>
    </w:p>
    <w:p>
      <w:pPr>
        <w:pStyle w:val="ListParagraph"/>
        <w:numPr>
          <w:ilvl w:val="0"/>
          <w:numId w:val="2"/>
        </w:numPr>
        <w:spacing w:after="30" w:before="0" w:line="276" w:lineRule="auto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Full Django RAG pipeline: PDF extraction via PyPDF2 with overlap chunking (~500–1000 tokens, ~50–100 overlap),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local embedding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via all-MiniLM-L6-v2 (384-dimensional, offline — zero API cost), ChromaDB cosine retrieval, GPT-4o-mini generation.</w:t>
      </w:r>
    </w:p>
    <w:p>
      <w:pPr>
        <w:pStyle w:val="ListParagraph"/>
        <w:numPr>
          <w:ilvl w:val="0"/>
          <w:numId w:val="2"/>
        </w:numPr>
        <w:spacing w:after="30" w:before="0" w:line="276" w:lineRule="auto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Containerized Django backend + ChromaDB as Docker services; prompt structure: system context + k-nearest retrieved chunks + user query for grounded generation.</w:t>
      </w:r>
    </w:p>
    <w:p>
      <w:pPr>
        <w:spacing w:after="20" w:before="100" w:line="276" w:lineRule="auto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VyaparGPT</w:t>
      </w:r>
      <w:r>
        <w:rPr>
          <w:rFonts w:ascii="Calibri" w:cs="Calibri" w:eastAsia="Calibri" w:hAnsi="Calibri"/>
          <w:sz w:val="21"/>
          <w:szCs w:val="21"/>
        </w:rPr>
        <w:t xml:space="preserve"> — WhatsApp AI Business Assistant  (OpenBiz product)</w:t>
      </w:r>
    </w:p>
    <w:p>
      <w:pPr>
        <w:spacing w:after="20" w:before="0" w:line="276" w:lineRule="auto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Stack: Node.js · OpenAI API · Google Gemini API · WhatsApp Business API</w:t>
      </w:r>
    </w:p>
    <w:p>
      <w:pPr>
        <w:pStyle w:val="ListParagraph"/>
        <w:numPr>
          <w:ilvl w:val="0"/>
          <w:numId w:val="2"/>
        </w:numPr>
        <w:spacing w:after="30" w:before="0" w:line="276" w:lineRule="auto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Full WhatsApp message lifecycle: webhook ingestion → HMAC-SHA256 validation → message-type routing (text / media / document / status) → session context → LLM dispatch → delivery.</w:t>
      </w:r>
    </w:p>
    <w:p>
      <w:pPr>
        <w:pStyle w:val="ListParagraph"/>
        <w:numPr>
          <w:ilvl w:val="0"/>
          <w:numId w:val="2"/>
        </w:numPr>
        <w:spacing w:after="30" w:before="0" w:line="276" w:lineRule="auto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Session-based multi-turn context (rolling conversation_history[]) with configurable TTL expiry; Gemini Vision API extracts structured fields from photographed SMB documents (GST certificates, invoices, vendor agreements).</w:t>
      </w:r>
    </w:p>
    <w:p>
      <w:pPr>
        <w:spacing w:after="20" w:before="100" w:line="276" w:lineRule="auto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Automated Content Intelligence Pipeline</w:t>
      </w:r>
      <w:r>
        <w:rPr>
          <w:rFonts w:ascii="Calibri" w:cs="Calibri" w:eastAsia="Calibri" w:hAnsi="Calibri"/>
          <w:sz w:val="21"/>
          <w:szCs w:val="21"/>
        </w:rPr>
        <w:t xml:space="preserve">  (OpenBiz product)</w:t>
      </w:r>
    </w:p>
    <w:p>
      <w:pPr>
        <w:spacing w:after="20" w:before="0" w:line="276" w:lineRule="auto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Stack: React 19 · TypeScript · Laravel · Node.js · OpenAI · Google Gemini · Docker · GitHub Actions · Puppeteer</w:t>
      </w:r>
    </w:p>
    <w:p>
      <w:pPr>
        <w:pStyle w:val="ListParagraph"/>
        <w:numPr>
          <w:ilvl w:val="0"/>
          <w:numId w:val="2"/>
        </w:numPr>
        <w:spacing w:after="30" w:before="0" w:line="276" w:lineRule="auto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Puppeteer headless Chromium (waitUntil: 'networkidle2') for SPA scraping; dual-model AI rewriting (Gemini primary → OpenAI fallback per article); React 19 split-screen Diff View with per-article state machine (pending_review → approved → published).</w:t>
      </w:r>
    </w:p>
    <w:p>
      <w:pPr>
        <w:pStyle w:val="ListParagraph"/>
        <w:numPr>
          <w:ilvl w:val="0"/>
          <w:numId w:val="2"/>
        </w:numPr>
        <w:spacing w:after="30" w:before="0" w:line="276" w:lineRule="auto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Dockerized microservices (Scraper, AI Rewriter, Laravel API, React Frontend) with unless-stopped restart policy; GitHub Actions cron schedule drives fully automated ingestion and review cycles.</w:t>
      </w:r>
    </w:p>
    <w:p>
      <w:pPr>
        <w:pBdr>
          <w:bottom w:val="single" w:color="AAAAAA" w:sz="6" w:space="4"/>
        </w:pBdr>
        <w:spacing w:after="50" w:before="160"/>
      </w:pPr>
      <w:r>
        <w:rPr>
          <w:rFonts w:ascii="Calibri" w:cs="Calibri" w:eastAsia="Calibri" w:hAnsi="Calibri"/>
          <w:b/>
          <w:bCs/>
          <w:caps/>
          <w:sz w:val="24"/>
          <w:szCs w:val="24"/>
        </w:rPr>
        <w:t xml:space="preserve">TECHNICAL SKILLS</w:t>
      </w:r>
    </w:p>
    <w:p>
      <w:pPr>
        <w:spacing w:after="0" w:before="6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1"/>
        <w:gridCol w:w="7695"/>
      </w:tblGrid>
      <w:tr>
        <w:tc>
          <w:tcPr>
            <w:tcW w:type="dxa" w:w="21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Languages</w:t>
            </w:r>
          </w:p>
        </w:tc>
        <w:tc>
          <w:tcPr>
            <w:tcW w:type="dxa" w:w="7695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JavaScript, TypeScript, Python, SQL, Java</w:t>
            </w:r>
          </w:p>
        </w:tc>
      </w:tr>
      <w:tr>
        <w:tc>
          <w:tcPr>
            <w:tcW w:type="dxa" w:w="21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Frontend</w:t>
            </w:r>
          </w:p>
        </w:tc>
        <w:tc>
          <w:tcPr>
            <w:tcW w:type="dxa" w:w="7695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React.js (v18, v19), Next.js, React Native, Redux Toolkit, TailwindCSS</w:t>
            </w:r>
          </w:p>
        </w:tc>
      </w:tr>
      <w:tr>
        <w:tc>
          <w:tcPr>
            <w:tcW w:type="dxa" w:w="21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Backend</w:t>
            </w:r>
          </w:p>
        </w:tc>
        <w:tc>
          <w:tcPr>
            <w:tcW w:type="dxa" w:w="7695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Node.js, Express.js, NestJS, Django, Laravel</w:t>
            </w:r>
          </w:p>
        </w:tc>
      </w:tr>
      <w:tr>
        <w:tc>
          <w:tcPr>
            <w:tcW w:type="dxa" w:w="21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Databases</w:t>
            </w:r>
          </w:p>
        </w:tc>
        <w:tc>
          <w:tcPr>
            <w:tcW w:type="dxa" w:w="7695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PostgreSQL, Supabase, MongoDB, ChromaDB, pgvector, AWS DynamoDB</w:t>
            </w:r>
          </w:p>
        </w:tc>
      </w:tr>
      <w:tr>
        <w:tc>
          <w:tcPr>
            <w:tcW w:type="dxa" w:w="21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AI / LLM</w:t>
            </w:r>
          </w:p>
        </w:tc>
        <w:tc>
          <w:tcPr>
            <w:tcW w:type="dxa" w:w="7695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OpenAI API, Google Gemini API, Groq API, RAG Pipelines, pgvector, ChromaDB, Sentence Transformers (all-MiniLM-L6-v2), Vercel AI SDK, LangChain.js, Prompt Engineering, PyPDF2, Claude 3.5 Sonnet (Anthropic API), MCP</w:t>
            </w:r>
          </w:p>
        </w:tc>
      </w:tr>
      <w:tr>
        <w:tc>
          <w:tcPr>
            <w:tcW w:type="dxa" w:w="21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DevOps / Cloud</w:t>
            </w:r>
          </w:p>
        </w:tc>
        <w:tc>
          <w:tcPr>
            <w:tcW w:type="dxa" w:w="7695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Docker, GitHub Actions, Vercel, AWS S3, AWS SNS</w:t>
            </w:r>
          </w:p>
        </w:tc>
      </w:tr>
      <w:tr>
        <w:tc>
          <w:tcPr>
            <w:tcW w:type="dxa" w:w="21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Tools</w:t>
            </w:r>
          </w:p>
        </w:tc>
        <w:tc>
          <w:tcPr>
            <w:tcW w:type="dxa" w:w="7695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Git, Postman, Socket.IO, Razorpay SDK, VideoSDK, Puppeteer, BrowserOS / OpenClaw</w:t>
            </w:r>
          </w:p>
        </w:tc>
      </w:tr>
      <w:tr>
        <w:tc>
          <w:tcPr>
            <w:tcW w:type="dxa" w:w="2171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Patterns</w:t>
            </w:r>
          </w:p>
        </w:tc>
        <w:tc>
          <w:tcPr>
            <w:tcW w:type="dxa" w:w="7695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WebSocket (Socket.IO), REST, Webhook Validation (HMAC-SHA256), N+1 Query Optimization, Vector Similarity Search (cosine), Provider-Agnostic LLM Layers, Idempotent Event Processing</w:t>
            </w:r>
          </w:p>
        </w:tc>
      </w:tr>
    </w:tbl>
    <w:p>
      <w:pPr>
        <w:spacing w:after="80" w:before="0"/>
      </w:pPr>
    </w:p>
    <w:p>
      <w:pPr>
        <w:pBdr>
          <w:bottom w:val="single" w:color="AAAAAA" w:sz="6" w:space="4"/>
        </w:pBdr>
        <w:spacing w:after="50" w:before="160"/>
      </w:pPr>
      <w:r>
        <w:rPr>
          <w:rFonts w:ascii="Calibri" w:cs="Calibri" w:eastAsia="Calibri" w:hAnsi="Calibri"/>
          <w:b/>
          <w:bCs/>
          <w:caps/>
          <w:sz w:val="24"/>
          <w:szCs w:val="24"/>
        </w:rPr>
        <w:t xml:space="preserve">EDUCATION</w:t>
      </w:r>
    </w:p>
    <w:p>
      <w:pPr>
        <w:spacing w:after="20" w:before="80" w:line="276" w:lineRule="auto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Vellore Institute of Technology, Vellore</w:t>
      </w:r>
    </w:p>
    <w:p>
      <w:pPr>
        <w:spacing w:after="20" w:before="0" w:line="276" w:lineRule="auto"/>
      </w:pPr>
      <w:r>
        <w:rPr>
          <w:rFonts w:ascii="Calibri" w:cs="Calibri" w:eastAsia="Calibri" w:hAnsi="Calibri"/>
          <w:sz w:val="21"/>
          <w:szCs w:val="21"/>
        </w:rPr>
        <w:t xml:space="preserve">B.Tech in Computer Science and Engineering  |  Graduating May 2026</w:t>
      </w:r>
    </w:p>
    <w:p>
      <w:pPr>
        <w:spacing w:after="60" w:before="0" w:line="276" w:lineRule="auto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Focus: Full Stack Development, AI Systems</w:t>
      </w:r>
    </w:p>
    <w:p>
      <w:pPr>
        <w:spacing w:after="20" w:before="40" w:line="276" w:lineRule="auto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Delhi Public School, Agra</w:t>
      </w:r>
    </w:p>
    <w:p>
      <w:pPr>
        <w:spacing w:after="80" w:before="0" w:line="276" w:lineRule="auto"/>
      </w:pPr>
      <w:r>
        <w:rPr>
          <w:rFonts w:ascii="Calibri" w:cs="Calibri" w:eastAsia="Calibri" w:hAnsi="Calibri"/>
          <w:sz w:val="21"/>
          <w:szCs w:val="21"/>
        </w:rPr>
        <w:t xml:space="preserve">Secondary &amp; Senior Secondary</w:t>
      </w:r>
    </w:p>
    <w:p>
      <w:pPr>
        <w:pBdr>
          <w:bottom w:val="single" w:color="AAAAAA" w:sz="6" w:space="4"/>
        </w:pBdr>
        <w:spacing w:after="50" w:before="160"/>
      </w:pPr>
      <w:r>
        <w:rPr>
          <w:rFonts w:ascii="Calibri" w:cs="Calibri" w:eastAsia="Calibri" w:hAnsi="Calibri"/>
          <w:b/>
          <w:bCs/>
          <w:caps/>
          <w:sz w:val="24"/>
          <w:szCs w:val="24"/>
        </w:rPr>
        <w:t xml:space="preserve">PROFILE SNAPSHOT</w:t>
      </w:r>
    </w:p>
    <w:p>
      <w:pPr>
        <w:spacing w:after="0" w:before="6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2"/>
        <w:gridCol w:w="7104"/>
      </w:tblGrid>
      <w:tr>
        <w:tc>
          <w:tcPr>
            <w:tcW w:type="dxa" w:w="2762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Availability</w:t>
            </w:r>
          </w:p>
        </w:tc>
        <w:tc>
          <w:tcPr>
            <w:tcW w:type="dxa" w:w="7104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Immediate Joiner — 0-day notice period</w:t>
            </w:r>
          </w:p>
        </w:tc>
      </w:tr>
      <w:tr>
        <w:tc>
          <w:tcPr>
            <w:tcW w:type="dxa" w:w="2762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Work Mode</w:t>
            </w:r>
          </w:p>
        </w:tc>
        <w:tc>
          <w:tcPr>
            <w:tcW w:type="dxa" w:w="7104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Remote-first; open to Bangalore, Hyderabad, Pune, Delhi NCR, Mumbai</w:t>
            </w:r>
          </w:p>
        </w:tc>
      </w:tr>
      <w:tr>
        <w:tc>
          <w:tcPr>
            <w:tcW w:type="dxa" w:w="2762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Expected CTC</w:t>
            </w:r>
          </w:p>
        </w:tc>
        <w:tc>
          <w:tcPr>
            <w:tcW w:type="dxa" w:w="7104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15–18 LPA (INR) — negotiable for high-ownership roles with equity</w:t>
            </w:r>
          </w:p>
        </w:tc>
      </w:tr>
      <w:tr>
        <w:tc>
          <w:tcPr>
            <w:tcW w:type="dxa" w:w="2762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Work Authorization</w:t>
            </w:r>
          </w:p>
        </w:tc>
        <w:tc>
          <w:tcPr>
            <w:tcW w:type="dxa" w:w="7104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Indian Citizen — no sponsorship required</w:t>
            </w:r>
          </w:p>
        </w:tc>
      </w:tr>
      <w:tr>
        <w:tc>
          <w:tcPr>
            <w:tcW w:type="dxa" w:w="2762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GitHub</w:t>
            </w:r>
          </w:p>
        </w:tc>
        <w:tc>
          <w:tcPr>
            <w:tcW w:type="dxa" w:w="7104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github.com/atinsharma24/</w:t>
            </w:r>
          </w:p>
        </w:tc>
      </w:tr>
      <w:tr>
        <w:tc>
          <w:tcPr>
            <w:tcW w:type="dxa" w:w="2762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LinkedIn</w:t>
            </w:r>
          </w:p>
        </w:tc>
        <w:tc>
          <w:tcPr>
            <w:tcW w:type="dxa" w:w="7104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linkedin.com/in/atinsharma24/</w:t>
            </w:r>
          </w:p>
        </w:tc>
      </w:tr>
    </w:tbl>
    <w:p>
      <w:pPr>
        <w:spacing w:after="40" w:before="0"/>
      </w:pPr>
    </w:p>
    <w:sectPr>
      <w:pgSz w:w="11906" w:h="16838" w:orient="portrait"/>
      <w:pgMar w:top="1020" w:right="1020" w:bottom="102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80" w:hanging="22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2026-05-28T11:46:39.289Z</dcterms:created>
  <dcterms:modified xsi:type="dcterms:W3CDTF">2026-05-28T11:46:39.290Z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