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Radiotherapy Research Assistant</w:t>
      </w:r>
    </w:p>
    <w:p>
      <w:pPr>
        <w:jc w:val="center"/>
      </w:pPr>
      <w:r>
        <w:rPr>
          <w:i/>
          <w:sz w:val="32"/>
        </w:rPr>
        <w:t>Evidence-Based Research Report</w:t>
      </w:r>
    </w:p>
    <w:p>
      <w:r>
        <w:br/>
      </w:r>
    </w:p>
    <w:p>
      <w:pPr>
        <w:jc w:val="center"/>
      </w:pPr>
      <w:r>
        <w:rPr>
          <w:b/>
          <w:sz w:val="26"/>
        </w:rPr>
        <w:t>Research Question</w:t>
      </w:r>
    </w:p>
    <w:p>
      <w:pPr>
        <w:jc w:val="center"/>
      </w:pPr>
      <w:r>
        <w:rPr>
          <w:sz w:val="24"/>
        </w:rPr>
        <w:t>The latest inventions in cervical Cancer Brachytherapy</w:t>
      </w:r>
    </w:p>
    <w:p>
      <w:r>
        <w:br/>
      </w:r>
    </w:p>
    <w:p>
      <w:pPr>
        <w:jc w:val="center"/>
      </w:pPr>
      <w:r>
        <w:rPr>
          <w:sz w:val="20"/>
        </w:rPr>
        <w:t>Generated: 04 August 2026, 04:43 AM</w:t>
      </w:r>
    </w:p>
    <w:p>
      <w:pPr>
        <w:jc w:val="center"/>
      </w:pPr>
      <w:r>
        <w:rPr>
          <w:sz w:val="20"/>
        </w:rPr>
        <w:t>Application Version: 1.0</w:t>
      </w:r>
    </w:p>
    <w:p>
      <w:r>
        <w:br w:type="page"/>
      </w:r>
    </w:p>
    <w:p>
      <w:pPr>
        <w:pStyle w:val="Heading1"/>
      </w:pPr>
      <w:r>
        <w:t>AI Research Summary</w:t>
      </w:r>
    </w:p>
    <w:p>
      <w:pPr>
        <w:pStyle w:val="Heading1"/>
      </w:pPr>
      <w:r>
        <w:t>Cervical Cancer Brachytherapy: Recent Innovations</w:t>
      </w:r>
    </w:p>
    <w:p>
      <w:pPr>
        <w:pStyle w:val="Heading2"/>
      </w:pPr>
      <w:r>
        <w:t>1. Research Summary</w:t>
      </w:r>
    </w:p>
    <w:p>
      <w:pPr>
        <w:spacing w:after="120" w:line="276" w:lineRule="auto"/>
      </w:pPr>
      <w:r>
        <w:rPr>
          <w:sz w:val="22"/>
        </w:rPr>
        <w:t>The retrieved evidence highlights three distinct innovation streams in cervical cancer brachytherapy (BT), primarily addressing situations where conventional intracavitary brachytherapy (ICBT) is unavailable, resource-limited, or workflow-inefficient. Rather than describing new brachytherapy hardware, the papers focus on: (1) evaluating stereotactic body radiotherapy (SBRT) as a potential non-invasive substitute for BT, (2) assessing image-guided external beam radiotherapy (EBRT) boosts using IMRT/VMAT as an alternative when ICBT cannot be delivered, and (3) automating treatment planning within image-guided adaptive brachytherapy (IGABT) workflows to improve efficiency in high-volume centers. Across all three papers, ICBT/IGABT is consistently affirmed as the gold-standard technique, with newer approaches positioned as adjuncts or alternatives rather than replacements.</w:t>
      </w:r>
    </w:p>
    <w:p>
      <w:pPr>
        <w:pStyle w:val="Heading2"/>
      </w:pPr>
      <w:r>
        <w:t>2. Key Findings</w:t>
      </w:r>
    </w:p>
    <w:p>
      <w:pPr>
        <w:spacing w:after="120" w:line="276" w:lineRule="auto"/>
      </w:pPr>
      <w:r>
        <w:rPr>
          <w:sz w:val="22"/>
        </w:rPr>
        <w:t>**SBRT vs. Brachytherapy (Paper 1)**</w:t>
      </w:r>
    </w:p>
    <w:p>
      <w:pPr>
        <w:pStyle w:val="ListBullet"/>
      </w:pPr>
      <w:r>
        <w:rPr>
          <w:sz w:val="22"/>
        </w:rPr>
        <w:t>BT achieves superior intratumoral dose escalation and higher central dose heterogeneity compared to SBRT.</w:t>
      </w:r>
    </w:p>
    <w:p>
      <w:pPr>
        <w:pStyle w:val="ListBullet"/>
      </w:pPr>
      <w:r>
        <w:rPr>
          <w:sz w:val="22"/>
        </w:rPr>
        <w:t>SBRT shows competitive peripheral target coverage and improved conformity, but only in margin-free planning scenarios; these advantages diminish with clinically realistic margins.</w:t>
      </w:r>
    </w:p>
    <w:p>
      <w:pPr>
        <w:pStyle w:val="ListBullet"/>
      </w:pPr>
      <w:r>
        <w:rPr>
          <w:sz w:val="22"/>
        </w:rPr>
        <w:t>Only one available survival analysis showed no significant difference in overall survival between SBRT and BT after adjusting for prognostic factors.</w:t>
      </w:r>
    </w:p>
    <w:p>
      <w:pPr>
        <w:pStyle w:val="ListBullet"/>
      </w:pPr>
      <w:r>
        <w:rPr>
          <w:sz w:val="22"/>
        </w:rPr>
        <w:t>Evidence base: 11 studies (9 dosimetric, 1 population-based cohort, 1 consensus guideline), mostly in locally advanced cervical cancer.</w:t>
      </w:r>
    </w:p>
    <w:p>
      <w:pPr>
        <w:spacing w:after="120" w:line="276" w:lineRule="auto"/>
      </w:pPr>
      <w:r>
        <w:rPr>
          <w:sz w:val="22"/>
        </w:rPr>
        <w:t>**EBRT Boost as an ICBT Alternative (Paper 2)**</w:t>
      </w:r>
    </w:p>
    <w:p>
      <w:pPr>
        <w:pStyle w:val="ListBullet"/>
      </w:pPr>
      <w:r>
        <w:rPr>
          <w:sz w:val="22"/>
        </w:rPr>
        <w:t>IMRT/VMAT with simultaneous integrated boost (SIB) or sequential boost to the HR-CTV, combined with daily image-guided radiotherapy (IGRT), is dosimetrically feasible when ICBT is unavailable.</w:t>
      </w:r>
    </w:p>
    <w:p>
      <w:pPr>
        <w:pStyle w:val="ListBullet"/>
      </w:pPr>
      <w:r>
        <w:rPr>
          <w:sz w:val="22"/>
        </w:rPr>
        <w:t>This approach can deliver a high, uniform dose to the target while respecting organ-at-risk (OAR) constraints.</w:t>
      </w:r>
    </w:p>
    <w:p>
      <w:pPr>
        <w:pStyle w:val="ListBullet"/>
      </w:pPr>
      <w:r>
        <w:rPr>
          <w:sz w:val="22"/>
        </w:rPr>
        <w:t>Findings are based on 10 prospectively enrolled patients (FIGO IIB–IVA) and are dosimetric only; a prospective clinical trial is planned to assess toxicity and local control outcomes.</w:t>
      </w:r>
    </w:p>
    <w:p>
      <w:pPr>
        <w:spacing w:after="120" w:line="276" w:lineRule="auto"/>
      </w:pPr>
      <w:r>
        <w:rPr>
          <w:sz w:val="22"/>
        </w:rPr>
        <w:t>**Automation in IGABT Planning (Paper 3)**</w:t>
      </w:r>
    </w:p>
    <w:p>
      <w:pPr>
        <w:pStyle w:val="ListBullet"/>
      </w:pPr>
      <w:r>
        <w:rPr>
          <w:sz w:val="22"/>
        </w:rPr>
        <w:t>A validated automated planning model (BiCycle) substantially reduced planning time compared to manual planning:</w:t>
      </w:r>
    </w:p>
    <w:p>
      <w:pPr>
        <w:pStyle w:val="ListBullet"/>
      </w:pPr>
      <w:r>
        <w:rPr>
          <w:sz w:val="22"/>
        </w:rPr>
        <w:t>Dwell time position selection/optimization: 4.59 minutes (automated) vs. 21 minutes (manual)</w:t>
      </w:r>
    </w:p>
    <w:p>
      <w:pPr>
        <w:pStyle w:val="ListBullet"/>
      </w:pPr>
      <w:r>
        <w:rPr>
          <w:sz w:val="22"/>
        </w:rPr>
        <w:t>Dwell time adjustment/fine-tuning: 5 minutes (automated) vs. 15 minutes (manual)</w:t>
      </w:r>
    </w:p>
    <w:p>
      <w:pPr>
        <w:pStyle w:val="ListBullet"/>
      </w:pPr>
      <w:r>
        <w:rPr>
          <w:sz w:val="22"/>
        </w:rPr>
        <w:t>In high-volume centers treating up to four patients daily, automation could save up to two hours daily and increase treatment capacity by 25%.</w:t>
      </w:r>
    </w:p>
    <w:p>
      <w:pPr>
        <w:pStyle w:val="ListBullet"/>
      </w:pPr>
      <w:r>
        <w:rPr>
          <w:sz w:val="22"/>
        </w:rPr>
        <w:t>Data drawn from 69 plans (30 automated, 39 manual) across two institutions (India and the Netherlands).</w:t>
      </w:r>
    </w:p>
    <w:p>
      <w:pPr>
        <w:pStyle w:val="Heading2"/>
      </w:pPr>
      <w:r>
        <w:t>3. Clinical Significance</w:t>
      </w:r>
    </w:p>
    <w:p>
      <w:pPr>
        <w:pStyle w:val="ListBullet"/>
      </w:pPr>
      <w:r>
        <w:rPr>
          <w:sz w:val="22"/>
        </w:rPr>
        <w:t>**Automation (BiCycle model)** represents the most concrete, near-term innovation, directly addressing the resource- and time-intensive nature of IGABT planning, potentially expanding treatment capacity in high-volume centers without compromising the established dosimetric benefits of BT.</w:t>
      </w:r>
    </w:p>
    <w:p>
      <w:pPr>
        <w:pStyle w:val="ListBullet"/>
      </w:pPr>
      <w:r>
        <w:rPr>
          <w:sz w:val="22"/>
        </w:rPr>
        <w:t>**EBRT boost techniques (IMRT/VMAT with IGRT)** offer a dosimetrically feasible bridge for centers or patients where ICBT is not accessible (due to equip</w:t>
      </w:r>
    </w:p>
    <w:p>
      <w:pPr>
        <w:pStyle w:val="Heading1"/>
      </w:pPr>
      <w:r>
        <w:t>Supporting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[1]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Can stereotactic body radiotherapy replace brachytherapy in gynecologic cancers? A systematic review of current evidence.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Authors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Ruiz PV, Vacas AI, Arenas ÁV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Clinical and translational radiation oncology (2026)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[2]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Can image-guided external beam radiotherapy boost be an alternative when intracavitary brachytherapy is unavailable for locally advanced cervical cancer? A dosimetric analysis and literature review.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Authors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Liu C, Wang X, Zhang N, Li J, Li X, Wang L, Zhang H, Chen X, Wu X, Zhao P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Journal of contemporary brachytherapy (2026)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[3]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Automated planning in image-guided adaptive brachytherapy for cervical cancer: Impact analysis on patient workflows in high-volume centers.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Authors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Hande V, Rossi L, Westerveld H, Luthart L, Mittal P, Panda S, Ghadi Y, Nout RA, Heijmen B, Chopra S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Journal of contemporary brachytherapy (2026)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Generated by Radiotherapy Research Assistant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