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Radiotherapy Research Assistant</w:t>
      </w:r>
    </w:p>
    <w:p>
      <w:pPr>
        <w:jc w:val="center"/>
      </w:pPr>
      <w:r>
        <w:rPr>
          <w:i/>
          <w:sz w:val="32"/>
        </w:rPr>
        <w:t>Evidence-Based Research Report</w:t>
      </w:r>
    </w:p>
    <w:p>
      <w:r>
        <w:br/>
      </w:r>
    </w:p>
    <w:p>
      <w:pPr>
        <w:jc w:val="center"/>
      </w:pPr>
      <w:r>
        <w:rPr>
          <w:b/>
          <w:sz w:val="26"/>
        </w:rPr>
        <w:t>Research Question</w:t>
      </w:r>
    </w:p>
    <w:p>
      <w:pPr>
        <w:jc w:val="center"/>
      </w:pPr>
      <w:r>
        <w:rPr>
          <w:sz w:val="24"/>
        </w:rPr>
        <w:t>MRI-guided Brachytherapy</w:t>
      </w:r>
    </w:p>
    <w:p>
      <w:r>
        <w:br/>
      </w:r>
    </w:p>
    <w:p>
      <w:pPr>
        <w:jc w:val="center"/>
      </w:pPr>
      <w:r>
        <w:rPr>
          <w:sz w:val="20"/>
        </w:rPr>
        <w:t>Generated: 04 August 2026, 04:45 AM</w:t>
      </w:r>
    </w:p>
    <w:p>
      <w:pPr>
        <w:jc w:val="center"/>
      </w:pPr>
      <w:r>
        <w:rPr>
          <w:sz w:val="20"/>
        </w:rPr>
        <w:t>Application Version: 1.0</w:t>
      </w:r>
    </w:p>
    <w:p>
      <w:r>
        <w:br w:type="page"/>
      </w:r>
    </w:p>
    <w:p>
      <w:pPr>
        <w:pStyle w:val="Heading1"/>
      </w:pPr>
      <w:r>
        <w:t>AI Research Summary</w:t>
      </w:r>
    </w:p>
    <w:p>
      <w:pPr>
        <w:pStyle w:val="Heading2"/>
      </w:pPr>
      <w:r>
        <w:t>1. Concise Research Summary</w:t>
      </w:r>
    </w:p>
    <w:p>
      <w:pPr>
        <w:spacing w:after="120" w:line="276" w:lineRule="auto"/>
      </w:pPr>
      <w:r>
        <w:rPr>
          <w:sz w:val="22"/>
        </w:rPr>
        <w:t>The retrieved evidence does not directly address "MRI-guided brachytherapy" as a standalone topic but rather centers on a related and more specific clinical question: what alternatives exist when intracavitary/image-guided brachytherapy (ICBT/IGABT) is unavailable, difficult, or resource-intensive for gynecologic (primarily cervical) cancer. One paper discusses workflow/efficiency improvements within image-guided adaptive brachytherapy (IGABT) using automated planning tools, while the other two compare brachytherapy to external-beam alternatives (IMRT/VMAT boost and SBRT) when brachytherapy access is limited.</w:t>
      </w:r>
    </w:p>
    <w:p>
      <w:pPr>
        <w:pStyle w:val="Heading2"/>
      </w:pPr>
      <w:r>
        <w:t>2. Key Findings (Bullet Points)</w:t>
      </w:r>
    </w:p>
    <w:p>
      <w:pPr>
        <w:pStyle w:val="ListBullet"/>
      </w:pPr>
      <w:r>
        <w:rPr>
          <w:sz w:val="22"/>
        </w:rPr>
        <w:t>**Automated IGABT planning (Hande et al.)**: Using the BiCycle automated planning model in image-guided (CT/MRI-based) adaptive brachytherapy significantly reduced treatment planning time compared with manual planning:</w:t>
      </w:r>
    </w:p>
    <w:p>
      <w:pPr>
        <w:pStyle w:val="ListBullet"/>
      </w:pPr>
      <w:r>
        <w:rPr>
          <w:sz w:val="22"/>
        </w:rPr>
        <w:t>Dwell time position selection/optimization: 4.59 min (automated) vs. 21 min (manual).</w:t>
      </w:r>
    </w:p>
    <w:p>
      <w:pPr>
        <w:pStyle w:val="ListBullet"/>
      </w:pPr>
      <w:r>
        <w:rPr>
          <w:sz w:val="22"/>
        </w:rPr>
        <w:t>Dwell time fine-tuning/adjustment: 5 min (automated) vs. 15 min (manual).</w:t>
      </w:r>
    </w:p>
    <w:p>
      <w:pPr>
        <w:pStyle w:val="ListBullet"/>
      </w:pPr>
      <w:r>
        <w:rPr>
          <w:sz w:val="22"/>
        </w:rPr>
        <w:t>Potential to save up to 2 hours/day and increase treatment capacity by 25% in high-volume centers.</w:t>
      </w:r>
    </w:p>
    <w:p>
      <w:pPr>
        <w:pStyle w:val="ListBullet"/>
      </w:pPr>
      <w:r>
        <w:rPr>
          <w:sz w:val="22"/>
        </w:rPr>
        <w:t>**EBRT boost as an alternative to ICBT (Liu et al.)**: In patients with locally advanced cervical cancer, an image-guided IMRT/VMAT boost (with daily IGRT) to the HR-CTV was dosimetrically feasible, achieving high, uniform target doses while respecting organ-at-risk (OAR) constraints, when ICBT was not an option (due to resource limits, anatomy, or refusal).</w:t>
      </w:r>
    </w:p>
    <w:p>
      <w:pPr>
        <w:pStyle w:val="ListBullet"/>
      </w:pPr>
      <w:r>
        <w:rPr>
          <w:sz w:val="22"/>
        </w:rPr>
        <w:t>**SBRT vs. brachytherapy (Ruiz et al., systematic review)**:</w:t>
      </w:r>
    </w:p>
    <w:p>
      <w:pPr>
        <w:pStyle w:val="ListBullet"/>
      </w:pPr>
      <w:r>
        <w:rPr>
          <w:sz w:val="22"/>
        </w:rPr>
        <w:t>Brachytherapy consistently provided superior intratumoral dose escalation and greater central dose heterogeneity (a desirable feature for tumor control).</w:t>
      </w:r>
    </w:p>
    <w:p>
      <w:pPr>
        <w:pStyle w:val="ListBullet"/>
      </w:pPr>
      <w:r>
        <w:rPr>
          <w:sz w:val="22"/>
        </w:rPr>
        <w:t>SBRT showed competitive peripheral target coverage and better conformity only in margin-free planning scenarios; these advantages diminished with clinically realistic margins.</w:t>
      </w:r>
    </w:p>
    <w:p>
      <w:pPr>
        <w:pStyle w:val="ListBullet"/>
      </w:pPr>
      <w:r>
        <w:rPr>
          <w:sz w:val="22"/>
        </w:rPr>
        <w:t>Only one survival study was available, showing no significant difference in overall survival between SBRT and BT after adjusting for prognostic factors.</w:t>
      </w:r>
    </w:p>
    <w:p>
      <w:pPr>
        <w:pStyle w:val="ListBullet"/>
      </w:pPr>
      <w:r>
        <w:rPr>
          <w:sz w:val="22"/>
        </w:rPr>
        <w:t>Evidence is dominated by dosimetric studies (9 of 11), with limited clinical outcome data.</w:t>
      </w:r>
    </w:p>
    <w:p>
      <w:pPr>
        <w:pStyle w:val="Heading2"/>
      </w:pPr>
      <w:r>
        <w:t>3. Clinical Significance</w:t>
      </w:r>
    </w:p>
    <w:p>
      <w:pPr>
        <w:pStyle w:val="ListBullet"/>
      </w:pPr>
      <w:r>
        <w:rPr>
          <w:sz w:val="22"/>
        </w:rPr>
        <w:t>Image-guided (including MRI-guided) brachytherapy remains central to definitive treatment of locally advanced cervical cancer due to its unmatched ability to deliver dose escalation within the tumor while sparing surrounding OARs.</w:t>
      </w:r>
    </w:p>
    <w:p>
      <w:pPr>
        <w:pStyle w:val="ListBullet"/>
      </w:pPr>
      <w:r>
        <w:rPr>
          <w:sz w:val="22"/>
        </w:rPr>
        <w:t>Automation of IGABT planning (as demonstrated with BiCycle) can substantially improve workflow efficiency, which is directly relevant to MRI-guided brachytherapy practice, particularly in high-volume centers where planning time is a bottleneck.</w:t>
      </w:r>
    </w:p>
    <w:p>
      <w:pPr>
        <w:pStyle w:val="ListBullet"/>
      </w:pPr>
      <w:r>
        <w:rPr>
          <w:sz w:val="22"/>
        </w:rPr>
        <w:t>When brachytherapy (including MRI-guided approaches) is unavailable, EBRT boost techniques (IMRT/VMAT) and SBRT are being investigated as alternatives, though current evidence suggests these do not fully replicate the dosimetric advantages of brachytherapy.</w:t>
      </w:r>
    </w:p>
    <w:p>
      <w:pPr>
        <w:pStyle w:val="Heading2"/>
      </w:pPr>
      <w:r>
        <w:t>4. Limitations or Uncertainty</w:t>
      </w:r>
    </w:p>
    <w:p>
      <w:pPr>
        <w:pStyle w:val="ListBullet"/>
      </w:pPr>
      <w:r>
        <w:rPr>
          <w:sz w:val="22"/>
        </w:rPr>
        <w:t>None of the three papers is specifically focused on "MRI-guided brachytherapy" as a distinct modality; MRI-based image guidance is mentioned only as one imaging option within IGABT (Hande et al.) and IMRT/VMAT planning (Liu et al.), not as a primary subject of investig</w:t>
      </w:r>
    </w:p>
    <w:p>
      <w:pPr>
        <w:pStyle w:val="Heading1"/>
      </w:pPr>
      <w:r>
        <w:t>Supporting 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[1]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Can image-guided external beam radiotherapy boost be an alternative when intracavitary brachytherapy is unavailable for locally advanced cervical cancer? A dosimetric analysis and literature review.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Authors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Liu C, Wang X, Zhang N, Li J, Li X, Wang L, Zhang H, Chen X, Wu X, Zhao P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Journal of contemporary brachytherapy (2026)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[2]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Automated planning in image-guided adaptive brachytherapy for cervical cancer: Impact analysis on patient workflows in high-volume centers.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Authors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Hande V, Rossi L, Westerveld H, Luthart L, Mittal P, Panda S, Ghadi Y, Nout RA, Heijmen B, Chopra S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Journal of contemporary brachytherapy (2026)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[3]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Title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Can stereotactic body radiotherapy replace brachytherapy in gynecologic cancers? A systematic review of current evidence.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Authors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Ruiz PV, Vacas AI, Arenas ÁV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20"/>
              </w:rPr>
              <w:t>Clinical and translational radiation oncology (2026)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Generated by Radiotherapy Research Assistant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