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Radiotherapy Research Assistant</w:t>
      </w:r>
    </w:p>
    <w:p>
      <w:pPr>
        <w:jc w:val="center"/>
      </w:pPr>
      <w:r>
        <w:rPr>
          <w:i/>
          <w:sz w:val="32"/>
        </w:rPr>
        <w:t>Evidence-Based Research Report</w:t>
      </w:r>
    </w:p>
    <w:p>
      <w:r>
        <w:br/>
      </w:r>
    </w:p>
    <w:p>
      <w:pPr>
        <w:jc w:val="center"/>
      </w:pPr>
      <w:r>
        <w:rPr>
          <w:b/>
          <w:sz w:val="26"/>
        </w:rPr>
        <w:t>Research Question</w:t>
      </w:r>
    </w:p>
    <w:p>
      <w:pPr>
        <w:jc w:val="center"/>
      </w:pPr>
      <w:r>
        <w:rPr>
          <w:sz w:val="24"/>
        </w:rPr>
        <w:t>What are the latest advances in cervical cancer brachytherapy?</w:t>
      </w:r>
    </w:p>
    <w:p>
      <w:r>
        <w:br/>
      </w:r>
    </w:p>
    <w:p>
      <w:pPr>
        <w:jc w:val="center"/>
      </w:pPr>
      <w:r>
        <w:rPr>
          <w:sz w:val="20"/>
        </w:rPr>
        <w:t>Generated: 04 August 2026, 05:01 AM</w:t>
      </w:r>
    </w:p>
    <w:p>
      <w:pPr>
        <w:jc w:val="center"/>
      </w:pPr>
      <w:r>
        <w:rPr>
          <w:sz w:val="20"/>
        </w:rPr>
        <w:t>Application Version: 1.0</w:t>
      </w:r>
    </w:p>
    <w:p>
      <w:r>
        <w:br w:type="page"/>
      </w:r>
    </w:p>
    <w:p>
      <w:pPr>
        <w:pStyle w:val="Heading1"/>
      </w:pPr>
      <w:r>
        <w:t>AI Research Summary</w:t>
      </w:r>
    </w:p>
    <w:p>
      <w:pPr>
        <w:pStyle w:val="Heading1"/>
      </w:pPr>
      <w:r>
        <w:t>Cervical Cancer Brachytherapy: Latest Advances</w:t>
      </w:r>
    </w:p>
    <w:p>
      <w:pPr>
        <w:pStyle w:val="Heading2"/>
      </w:pPr>
      <w:r>
        <w:t>1. Research Summary</w:t>
      </w:r>
    </w:p>
    <w:p>
      <w:pPr>
        <w:spacing w:after="120" w:line="276" w:lineRule="auto"/>
      </w:pPr>
      <w:r>
        <w:rPr>
          <w:sz w:val="22"/>
        </w:rPr>
        <w:t>The retrieved evidence addresses three distinct but related themes in cervical cancer brachytherapy (BT): (1) whether stereotactic body radiotherapy (SBRT) can serve as a non-invasive alternative to BT, (2) whether image-guided external beam radiotherapy (EBRT) boost techniques can substitute for intracavitary brachytherapy (ICBT) when it is unavailable, and (3) clinical outcomes of image-guided (MRI-based) brachytherapy in locally advanced cervical cancer, including stage IVA disease and fistula risk. Collectively, these papers reflect ongoing efforts to address BT resource limitations and declining utilization, while reaffirming BT's central role in curative treatment.</w:t>
      </w:r>
    </w:p>
    <w:p>
      <w:pPr>
        <w:pStyle w:val="Heading2"/>
      </w:pPr>
      <w:r>
        <w:t>2. Key Findings</w:t>
      </w:r>
    </w:p>
    <w:p>
      <w:pPr>
        <w:pStyle w:val="ListBullet"/>
      </w:pPr>
      <w:r>
        <w:rPr>
          <w:sz w:val="22"/>
        </w:rPr>
        <w:t>**BT vs. SBRT (Paper 1):**</w:t>
      </w:r>
    </w:p>
    <w:p>
      <w:pPr>
        <w:pStyle w:val="ListBullet"/>
      </w:pPr>
      <w:r>
        <w:rPr>
          <w:sz w:val="22"/>
        </w:rPr>
        <w:t>BT consistently achieves superior intratumoral dose escalation and greater central dose heterogeneity compared to SBRT.</w:t>
      </w:r>
    </w:p>
    <w:p>
      <w:pPr>
        <w:pStyle w:val="ListBullet"/>
      </w:pPr>
      <w:r>
        <w:rPr>
          <w:sz w:val="22"/>
        </w:rPr>
        <w:t>SBRT shows competitive peripheral target coverage and improved conformity, but only in margin-free planning scenarios; these SBRT advantages diminish when realistic clinical margins are applied.</w:t>
      </w:r>
    </w:p>
    <w:p>
      <w:pPr>
        <w:pStyle w:val="ListBullet"/>
      </w:pPr>
      <w:r>
        <w:rPr>
          <w:sz w:val="22"/>
        </w:rPr>
        <w:t>Only one study reported survival outcomes, finding no significant difference in overall survival between SBRT and BT after adjusting for prognostic factors.</w:t>
      </w:r>
    </w:p>
    <w:p>
      <w:pPr>
        <w:pStyle w:val="ListBullet"/>
      </w:pPr>
      <w:r>
        <w:rPr>
          <w:sz w:val="22"/>
        </w:rPr>
        <w:t>BT remains the reference standard for dose escalation in gynecologic cancers; SBRT may be a selective alternative only when BT is not feasible.</w:t>
      </w:r>
    </w:p>
    <w:p>
      <w:pPr>
        <w:pStyle w:val="ListBullet"/>
      </w:pPr>
      <w:r>
        <w:rPr>
          <w:sz w:val="22"/>
        </w:rPr>
        <w:t>**Image-guided EBRT boost as an ICBT alternative (Paper 2):**</w:t>
      </w:r>
    </w:p>
    <w:p>
      <w:pPr>
        <w:pStyle w:val="ListBullet"/>
      </w:pPr>
      <w:r>
        <w:rPr>
          <w:sz w:val="22"/>
        </w:rPr>
        <w:t>In a prospective dosimetric study of 10 patients with locally advanced cervical cancer (LACC), IMRT/VMAT with a simultaneous integrated boost or sequential boost to the HR-CTV (with daily image guidance) achieved a prescribed dose of 70 Gy (EQD2) while respecting organ-at-risk (OAR) constraints.</w:t>
      </w:r>
    </w:p>
    <w:p>
      <w:pPr>
        <w:pStyle w:val="ListBullet"/>
      </w:pPr>
      <w:r>
        <w:rPr>
          <w:sz w:val="22"/>
        </w:rPr>
        <w:t>This EBRT boost approach is dosimetrically feasible as an alternative when ICBT is unavailable due to resource limitations, anatomical constraints, or patient refusal.</w:t>
      </w:r>
    </w:p>
    <w:p>
      <w:pPr>
        <w:pStyle w:val="ListBullet"/>
      </w:pPr>
      <w:r>
        <w:rPr>
          <w:sz w:val="22"/>
        </w:rPr>
        <w:t>ICBT remains the gold standard, but modern EBRT techniques may offer a viable option in resource-constrained settings; findings support development of a prospective clinical trial to assess clinical outcomes (toxicity, local control).</w:t>
      </w:r>
    </w:p>
    <w:p>
      <w:pPr>
        <w:pStyle w:val="ListBullet"/>
      </w:pPr>
      <w:r>
        <w:rPr>
          <w:sz w:val="22"/>
        </w:rPr>
        <w:t>**MRI-guided brachytherapy outcomes, including stage IVA disease (Paper 3):**</w:t>
      </w:r>
    </w:p>
    <w:p>
      <w:pPr>
        <w:pStyle w:val="ListBullet"/>
      </w:pPr>
      <w:r>
        <w:rPr>
          <w:sz w:val="22"/>
        </w:rPr>
        <w:t>In 151 patients treated with chemoradiotherapy and MRI-guided BT, stage IVA disease (14.6% of cohort) was associated with significantly worse disease-free survival (HR 2.79) and overall survival (HR 4.81) compared to stages I–III, but not with increased central failure (HR 1.28).</w:t>
      </w:r>
    </w:p>
    <w:p>
      <w:pPr>
        <w:pStyle w:val="ListBullet"/>
      </w:pPr>
      <w:r>
        <w:rPr>
          <w:sz w:val="22"/>
        </w:rPr>
        <w:t>HR-CTV D90 doses did not differ significantly by stage, though bladder and rectum D2cc doses were higher in stage IVA patients due to organ invasion.</w:t>
      </w:r>
    </w:p>
    <w:p>
      <w:pPr>
        <w:pStyle w:val="ListBullet"/>
      </w:pPr>
      <w:r>
        <w:rPr>
          <w:sz w:val="22"/>
        </w:rPr>
        <w:t>MRI-guided BT achieved low central failure rates across all stages, including IVA.</w:t>
      </w:r>
    </w:p>
    <w:p>
      <w:pPr>
        <w:pStyle w:val="ListBullet"/>
      </w:pPr>
      <w:r>
        <w:rPr>
          <w:sz w:val="22"/>
        </w:rPr>
        <w:t>Low body mass index (&lt;20 kg/m²) and other comorbidities/disease-related factors were identified as prognostic for fistula formation (both any fistula and late-occurring fistula).</w:t>
      </w:r>
    </w:p>
    <w:p>
      <w:pPr>
        <w:pStyle w:val="Heading2"/>
      </w:pPr>
      <w:r>
        <w:t>3. Clinical Significance</w:t>
      </w:r>
    </w:p>
    <w:p>
      <w:pPr>
        <w:pStyle w:val="ListBullet"/>
      </w:pPr>
      <w:r>
        <w:rPr>
          <w:sz w:val="22"/>
        </w:rPr>
        <w:t>Image-guided (MRI-based) brachytherapy continues to provide excellent local tumor control, even in advanced (stage IVA) disease, underscoring its importance as the definitive standard of care for locally advanced cervical cancer.</w:t>
      </w:r>
    </w:p>
    <w:p>
      <w:pPr>
        <w:pStyle w:val="ListBullet"/>
      </w:pPr>
      <w:r>
        <w:rPr>
          <w:sz w:val="22"/>
        </w:rPr>
        <w:t>In settings where ICB</w:t>
      </w:r>
    </w:p>
    <w:p>
      <w:pPr>
        <w:pStyle w:val="Heading1"/>
      </w:pPr>
      <w:r>
        <w:t>Supporting References</w:t>
      </w:r>
    </w:p>
    <w:tbl>
      <w:tblPr>
        <w:tblStyle w:val="TableGrid"/>
        <w:tblW w:type="auto" w:w="0"/>
        <w:tblLook w:firstColumn="1" w:firstRow="1" w:lastColumn="0" w:lastRow="0" w:noHBand="0" w:noVBand="1" w:val="04A0"/>
      </w:tblPr>
      <w:tblGrid>
        <w:gridCol w:w="4824"/>
        <w:gridCol w:w="4824"/>
      </w:tblGrid>
      <w:tr>
        <w:tc>
          <w:tcPr>
            <w:tcW w:type="dxa" w:w="4824"/>
            <w:vAlign w:val="center"/>
          </w:tcPr>
          <w:p>
            <w:r>
              <w:rPr>
                <w:b/>
                <w:sz w:val="20"/>
              </w:rPr>
              <w:t>Reference</w:t>
            </w:r>
          </w:p>
        </w:tc>
        <w:tc>
          <w:tcPr>
            <w:tcW w:type="dxa" w:w="4824"/>
            <w:vAlign w:val="center"/>
          </w:tcPr>
          <w:p>
            <w:r>
              <w:rPr>
                <w:sz w:val="20"/>
              </w:rPr>
              <w:t>[1]</w:t>
            </w:r>
          </w:p>
        </w:tc>
      </w:tr>
      <w:tr>
        <w:tc>
          <w:tcPr>
            <w:tcW w:type="dxa" w:w="4824"/>
            <w:vAlign w:val="center"/>
          </w:tcPr>
          <w:p>
            <w:r>
              <w:rPr>
                <w:b/>
                <w:sz w:val="20"/>
              </w:rPr>
              <w:t>Title</w:t>
            </w:r>
          </w:p>
        </w:tc>
        <w:tc>
          <w:tcPr>
            <w:tcW w:type="dxa" w:w="4824"/>
            <w:vAlign w:val="center"/>
          </w:tcPr>
          <w:p>
            <w:r>
              <w:rPr>
                <w:sz w:val="20"/>
              </w:rPr>
              <w:t>Can stereotactic body radiotherapy replace brachytherapy in gynecologic cancers? A systematic review of current evidence.</w:t>
            </w:r>
          </w:p>
        </w:tc>
      </w:tr>
      <w:tr>
        <w:tc>
          <w:tcPr>
            <w:tcW w:type="dxa" w:w="4824"/>
            <w:vAlign w:val="center"/>
          </w:tcPr>
          <w:p>
            <w:r>
              <w:rPr>
                <w:b/>
                <w:sz w:val="20"/>
              </w:rPr>
              <w:t>Authors</w:t>
            </w:r>
          </w:p>
        </w:tc>
        <w:tc>
          <w:tcPr>
            <w:tcW w:type="dxa" w:w="4824"/>
            <w:vAlign w:val="center"/>
          </w:tcPr>
          <w:p>
            <w:r>
              <w:rPr>
                <w:sz w:val="20"/>
              </w:rPr>
              <w:t>Ruiz PV, Vacas AI, Arenas ÁV</w:t>
            </w:r>
          </w:p>
        </w:tc>
      </w:tr>
      <w:tr>
        <w:tc>
          <w:tcPr>
            <w:tcW w:type="dxa" w:w="4824"/>
            <w:vAlign w:val="center"/>
          </w:tcPr>
          <w:p>
            <w:r>
              <w:rPr>
                <w:b/>
                <w:sz w:val="20"/>
              </w:rPr>
              <w:t>Source</w:t>
            </w:r>
          </w:p>
        </w:tc>
        <w:tc>
          <w:tcPr>
            <w:tcW w:type="dxa" w:w="4824"/>
            <w:vAlign w:val="center"/>
          </w:tcPr>
          <w:p>
            <w:r>
              <w:rPr>
                <w:sz w:val="20"/>
              </w:rPr>
              <w:t>Clinical and translational radiation oncology (2026)</w:t>
            </w:r>
          </w:p>
        </w:tc>
      </w:tr>
    </w:tbl>
    <w:p/>
    <w:tbl>
      <w:tblPr>
        <w:tblStyle w:val="TableGrid"/>
        <w:tblW w:type="auto" w:w="0"/>
        <w:tblLook w:firstColumn="1" w:firstRow="1" w:lastColumn="0" w:lastRow="0" w:noHBand="0" w:noVBand="1" w:val="04A0"/>
      </w:tblPr>
      <w:tblGrid>
        <w:gridCol w:w="4824"/>
        <w:gridCol w:w="4824"/>
      </w:tblGrid>
      <w:tr>
        <w:tc>
          <w:tcPr>
            <w:tcW w:type="dxa" w:w="4824"/>
            <w:vAlign w:val="center"/>
          </w:tcPr>
          <w:p>
            <w:r>
              <w:rPr>
                <w:b/>
                <w:sz w:val="20"/>
              </w:rPr>
              <w:t>Reference</w:t>
            </w:r>
          </w:p>
        </w:tc>
        <w:tc>
          <w:tcPr>
            <w:tcW w:type="dxa" w:w="4824"/>
            <w:vAlign w:val="center"/>
          </w:tcPr>
          <w:p>
            <w:r>
              <w:rPr>
                <w:sz w:val="20"/>
              </w:rPr>
              <w:t>[2]</w:t>
            </w:r>
          </w:p>
        </w:tc>
      </w:tr>
      <w:tr>
        <w:tc>
          <w:tcPr>
            <w:tcW w:type="dxa" w:w="4824"/>
            <w:vAlign w:val="center"/>
          </w:tcPr>
          <w:p>
            <w:r>
              <w:rPr>
                <w:b/>
                <w:sz w:val="20"/>
              </w:rPr>
              <w:t>Title</w:t>
            </w:r>
          </w:p>
        </w:tc>
        <w:tc>
          <w:tcPr>
            <w:tcW w:type="dxa" w:w="4824"/>
            <w:vAlign w:val="center"/>
          </w:tcPr>
          <w:p>
            <w:r>
              <w:rPr>
                <w:sz w:val="20"/>
              </w:rPr>
              <w:t>Can image-guided external beam radiotherapy boost be an alternative when intracavitary brachytherapy is unavailable for locally advanced cervical cancer? A dosimetric analysis and literature review.</w:t>
            </w:r>
          </w:p>
        </w:tc>
      </w:tr>
      <w:tr>
        <w:tc>
          <w:tcPr>
            <w:tcW w:type="dxa" w:w="4824"/>
            <w:vAlign w:val="center"/>
          </w:tcPr>
          <w:p>
            <w:r>
              <w:rPr>
                <w:b/>
                <w:sz w:val="20"/>
              </w:rPr>
              <w:t>Authors</w:t>
            </w:r>
          </w:p>
        </w:tc>
        <w:tc>
          <w:tcPr>
            <w:tcW w:type="dxa" w:w="4824"/>
            <w:vAlign w:val="center"/>
          </w:tcPr>
          <w:p>
            <w:r>
              <w:rPr>
                <w:sz w:val="20"/>
              </w:rPr>
              <w:t>Liu C, Wang X, Zhang N, Li J, Li X, Wang L, Zhang H, Chen X, Wu X, Zhao P</w:t>
            </w:r>
          </w:p>
        </w:tc>
      </w:tr>
      <w:tr>
        <w:tc>
          <w:tcPr>
            <w:tcW w:type="dxa" w:w="4824"/>
            <w:vAlign w:val="center"/>
          </w:tcPr>
          <w:p>
            <w:r>
              <w:rPr>
                <w:b/>
                <w:sz w:val="20"/>
              </w:rPr>
              <w:t>Source</w:t>
            </w:r>
          </w:p>
        </w:tc>
        <w:tc>
          <w:tcPr>
            <w:tcW w:type="dxa" w:w="4824"/>
            <w:vAlign w:val="center"/>
          </w:tcPr>
          <w:p>
            <w:r>
              <w:rPr>
                <w:sz w:val="20"/>
              </w:rPr>
              <w:t>Journal of contemporary brachytherapy (2026)</w:t>
            </w:r>
          </w:p>
        </w:tc>
      </w:tr>
    </w:tbl>
    <w:p/>
    <w:tbl>
      <w:tblPr>
        <w:tblStyle w:val="TableGrid"/>
        <w:tblW w:type="auto" w:w="0"/>
        <w:tblLook w:firstColumn="1" w:firstRow="1" w:lastColumn="0" w:lastRow="0" w:noHBand="0" w:noVBand="1" w:val="04A0"/>
      </w:tblPr>
      <w:tblGrid>
        <w:gridCol w:w="4824"/>
        <w:gridCol w:w="4824"/>
      </w:tblGrid>
      <w:tr>
        <w:tc>
          <w:tcPr>
            <w:tcW w:type="dxa" w:w="4824"/>
            <w:vAlign w:val="center"/>
          </w:tcPr>
          <w:p>
            <w:r>
              <w:rPr>
                <w:b/>
                <w:sz w:val="20"/>
              </w:rPr>
              <w:t>Reference</w:t>
            </w:r>
          </w:p>
        </w:tc>
        <w:tc>
          <w:tcPr>
            <w:tcW w:type="dxa" w:w="4824"/>
            <w:vAlign w:val="center"/>
          </w:tcPr>
          <w:p>
            <w:r>
              <w:rPr>
                <w:sz w:val="20"/>
              </w:rPr>
              <w:t>[3]</w:t>
            </w:r>
          </w:p>
        </w:tc>
      </w:tr>
      <w:tr>
        <w:tc>
          <w:tcPr>
            <w:tcW w:type="dxa" w:w="4824"/>
            <w:vAlign w:val="center"/>
          </w:tcPr>
          <w:p>
            <w:r>
              <w:rPr>
                <w:b/>
                <w:sz w:val="20"/>
              </w:rPr>
              <w:t>Title</w:t>
            </w:r>
          </w:p>
        </w:tc>
        <w:tc>
          <w:tcPr>
            <w:tcW w:type="dxa" w:w="4824"/>
            <w:vAlign w:val="center"/>
          </w:tcPr>
          <w:p>
            <w:r>
              <w:rPr>
                <w:sz w:val="20"/>
              </w:rPr>
              <w:t>Image-guided brachytherapy for locally advanced cervical cancer: clinical outcomes and fistula risk in stage IVA disease.</w:t>
            </w:r>
          </w:p>
        </w:tc>
      </w:tr>
      <w:tr>
        <w:tc>
          <w:tcPr>
            <w:tcW w:type="dxa" w:w="4824"/>
            <w:vAlign w:val="center"/>
          </w:tcPr>
          <w:p>
            <w:r>
              <w:rPr>
                <w:b/>
                <w:sz w:val="20"/>
              </w:rPr>
              <w:t>Authors</w:t>
            </w:r>
          </w:p>
        </w:tc>
        <w:tc>
          <w:tcPr>
            <w:tcW w:type="dxa" w:w="4824"/>
            <w:vAlign w:val="center"/>
          </w:tcPr>
          <w:p>
            <w:r>
              <w:rPr>
                <w:sz w:val="20"/>
              </w:rPr>
              <w:t>Landman Y, De Sousa Smith C, Ke S, Roumeliotis M, Rezaee M, Lee J, Schmidt EJ, Hu C, Viswanathan AN</w:t>
            </w:r>
          </w:p>
        </w:tc>
      </w:tr>
      <w:tr>
        <w:tc>
          <w:tcPr>
            <w:tcW w:type="dxa" w:w="4824"/>
            <w:vAlign w:val="center"/>
          </w:tcPr>
          <w:p>
            <w:r>
              <w:rPr>
                <w:b/>
                <w:sz w:val="20"/>
              </w:rPr>
              <w:t>Source</w:t>
            </w:r>
          </w:p>
        </w:tc>
        <w:tc>
          <w:tcPr>
            <w:tcW w:type="dxa" w:w="4824"/>
            <w:vAlign w:val="center"/>
          </w:tcPr>
          <w:p>
            <w:r>
              <w:rPr>
                <w:sz w:val="20"/>
              </w:rPr>
              <w:t>International journal of gynecological cancer : official journal of the International Gynecological Cancer Society (2026)</w:t>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Generated by Radiotherapy Research Assistant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