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Radiotherapy Research Assistant</w:t>
      </w:r>
    </w:p>
    <w:p>
      <w:r>
        <w:t>Generated: 04 August 2026, 04:36 AM</w:t>
      </w:r>
    </w:p>
    <w:p>
      <w:pPr>
        <w:pStyle w:val="Heading1"/>
      </w:pPr>
      <w:r>
        <w:t>Research Question</w:t>
      </w:r>
    </w:p>
    <w:p>
      <w:r>
        <w:t>Cervical Cancer Brachytherapy</w:t>
      </w:r>
    </w:p>
    <w:p>
      <w:pPr>
        <w:pStyle w:val="Heading1"/>
      </w:pPr>
      <w:r>
        <w:t>AI Research Summary</w:t>
      </w:r>
    </w:p>
    <w:p>
      <w:r>
        <w:rPr>
          <w:sz w:val="22"/>
        </w:rPr>
        <w:t>## 1. Concise Research Summary</w:t>
      </w:r>
    </w:p>
    <w:p>
      <w:r>
        <w:rPr>
          <w:sz w:val="22"/>
        </w:rPr>
        <w:t>The retrieved evidence addresses cervical cancer brachytherapy (BT) from three angles: (1) whether stereotactic body radiotherapy (SBRT) can serve as a non-invasive substitute for BT across gynecologic cancers, (2) whether image-guided external beam radiotherapy (EBRT) boost techniques (IMRT/VMAT) can substitute for intracavitary brachytherapy (ICBT) when it is unavailable, and (3) clinical outcomes—including fistula risk—associated with image-guided (MRI-based) brachytherapy in locally advanced cervical cancer (LACC), with particular focus on stage IVA disease. Collectively, these papers reinforce that brachytherapy remains the standard of care for dose escalation in cervical cancer, while also exploring feasible alternatives and characterizing outcomes/toxicity when BT is used.</w:t>
      </w:r>
    </w:p>
    <w:p>
      <w:r>
        <w:rPr>
          <w:sz w:val="22"/>
        </w:rPr>
        <w:t>## 2. Key Findings</w:t>
      </w:r>
    </w:p>
    <w:p>
      <w:r>
        <w:rPr>
          <w:sz w:val="22"/>
        </w:rPr>
        <w:t>- **BT vs. SBRT (Paper 1):**</w:t>
      </w:r>
    </w:p>
    <w:p>
      <w:r>
        <w:rPr>
          <w:sz w:val="22"/>
        </w:rPr>
        <w:t>- Across 11 studies (9 dosimetric, 1 population cohort, 1 consensus guideline), BT consistently achieved **superior intratumoral dose escalation and higher central dose heterogeneity** compared to SBRT.</w:t>
      </w:r>
    </w:p>
    <w:p>
      <w:r>
        <w:rPr>
          <w:sz w:val="22"/>
        </w:rPr>
        <w:t>- SBRT showed **competitive peripheral target coverage and improved conformity**, but only in margin-free planning scenarios; these advantages diminished with clinically realistic margins.</w:t>
      </w:r>
    </w:p>
    <w:p>
      <w:r>
        <w:rPr>
          <w:sz w:val="22"/>
        </w:rPr>
        <w:t>- The single available survival analysis found **no significant difference in overall survival** between SBRT and BT after adjusting for prognostic factors.</w:t>
      </w:r>
    </w:p>
    <w:p>
      <w:r>
        <w:rPr>
          <w:sz w:val="22"/>
        </w:rPr>
        <w:t>- Conclusion: BT remains the reference standard; SBRT may be a selective alternative only when BT is infeasible.</w:t>
      </w:r>
    </w:p>
    <w:p>
      <w:r>
        <w:rPr>
          <w:sz w:val="22"/>
        </w:rPr>
        <w:t>- **EBRT Boost vs. ICBT (Paper 2):**</w:t>
      </w:r>
    </w:p>
    <w:p>
      <w:r>
        <w:rPr>
          <w:sz w:val="22"/>
        </w:rPr>
        <w:t>- In 10 LACC patients (FIGO IIB–IVA), an image-guided EBRT boost using IMRT/VMAT (45 Gy/25 fractions plus SIB or sequential boost to HR-CTV, total EQD10 of 70 Gy) was dosimetrically **feasible**, delivering high, uniform target doses while respecting organ-at-risk (OAR) constraints.</w:t>
      </w:r>
    </w:p>
    <w:p>
      <w:r>
        <w:rPr>
          <w:sz w:val="22"/>
        </w:rPr>
        <w:t>- Comparison with published ICBT and SBRT data suggests EBRT boost techniques could be a **promising alternative in resource-constrained settings** where ICBT is unavailable.</w:t>
      </w:r>
    </w:p>
    <w:p>
      <w:r>
        <w:rPr>
          <w:sz w:val="22"/>
        </w:rPr>
        <w:t>- ICBT remains the **gold standard**; EBRT boost dosimetric findings support the design of a future prospective clinical trial evaluating toxicity and local control.</w:t>
      </w:r>
    </w:p>
    <w:p>
      <w:r>
        <w:rPr>
          <w:sz w:val="22"/>
        </w:rPr>
        <w:t>- **MRI-guided Brachytherapy Outcomes, Including Stage IVA (Paper 3):**</w:t>
      </w:r>
    </w:p>
    <w:p>
      <w:r>
        <w:rPr>
          <w:sz w:val="22"/>
        </w:rPr>
        <w:t>- In 151 patients treated with chemoradiotherapy and MRI-guided brachytherapy (median follow-up 2.9 years), stage IVA disease (14.6% of cohort) was associated with:</w:t>
      </w:r>
    </w:p>
    <w:p>
      <w:r>
        <w:rPr>
          <w:sz w:val="22"/>
        </w:rPr>
        <w:t>- Worse disease-free survival (HR 2.79, 95% CI 1.59–4.91, p&lt;.001)</w:t>
      </w:r>
    </w:p>
    <w:p>
      <w:r>
        <w:rPr>
          <w:sz w:val="22"/>
        </w:rPr>
        <w:t>- Worse overall survival (HR 4.81, 95% CI 2.48–9.32, p&lt;.001)</w:t>
      </w:r>
    </w:p>
    <w:p>
      <w:r>
        <w:rPr>
          <w:sz w:val="22"/>
        </w:rPr>
        <w:t>- **No significant difference in central failure** (HR 1.28, 95% CI 0.36–4.63, p=.7) compared with stages I–III.</w:t>
      </w:r>
    </w:p>
    <w:p>
      <w:r>
        <w:rPr>
          <w:sz w:val="22"/>
        </w:rPr>
        <w:t>- HR-CTV D90 did not differ significantly by stage, though **bladder and rectal D2cc doses were higher in stage IVA** patients due to organ invasion.</w:t>
      </w:r>
    </w:p>
    <w:p>
      <w:r>
        <w:rPr>
          <w:sz w:val="22"/>
        </w:rPr>
        <w:t>- MRI-guided brachytherapy resulted in **low central failure rates across all stages**.</w:t>
      </w:r>
    </w:p>
    <w:p>
      <w:r>
        <w:rPr>
          <w:sz w:val="22"/>
        </w:rPr>
        <w:t>- Multivariable analysis identified BMI &lt;20 kg/m² and other disease-related/comorbid factors as pred</w:t>
      </w:r>
    </w:p>
    <w:p>
      <w:pPr>
        <w:pStyle w:val="Heading1"/>
      </w:pPr>
      <w:r>
        <w:t>References</w:t>
      </w:r>
    </w:p>
    <w:p>
      <w:r>
        <w:t>[1] Can stereotactic body radiotherapy replace brachytherapy in gynecologic cancers? A systematic review of current evidence.</w:t>
        <w:br/>
        <w:t>Ruiz PV, Vacas AI, Arenas ÁV</w:t>
        <w:br/>
        <w:t>Clinical and translational radiation oncology (2026)</w:t>
      </w:r>
    </w:p>
    <w:p>
      <w:r>
        <w:t>[2] Can image-guided external beam radiotherapy boost be an alternative when intracavitary brachytherapy is unavailable for locally advanced cervical cancer? A dosimetric analysis and literature review.</w:t>
        <w:br/>
        <w:t>Liu C, Wang X, Zhang N, Li J, Li X, Wang L, Zhang H, Chen X, Wu X, Zhao P</w:t>
        <w:br/>
        <w:t>Journal of contemporary brachytherapy (2026)</w:t>
      </w:r>
    </w:p>
    <w:p>
      <w:r>
        <w:t>[3] Image-guided brachytherapy for locally advanced cervical cancer: clinical outcomes and fistula risk in stage IVA disease.</w:t>
        <w:br/>
        <w:t>Landman Y, De Sousa Smith C, Ke S, Roumeliotis M, Rezaee M, Lee J, Schmidt EJ, Hu C, Viswanathan AN</w:t>
        <w:br/>
        <w:t>International journal of gynecological cancer : official journal of the International Gynecological Cancer Society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