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Radiotherapy Research Assistant</w:t>
      </w:r>
    </w:p>
    <w:p>
      <w:pPr>
        <w:jc w:val="center"/>
      </w:pPr>
      <w:r>
        <w:rPr>
          <w:i/>
          <w:sz w:val="32"/>
        </w:rPr>
        <w:t>PubMed Research Report</w:t>
      </w:r>
    </w:p>
    <w:p/>
    <w:p>
      <w:pPr>
        <w:jc w:val="center"/>
      </w:pPr>
      <w:r>
        <w:rPr>
          <w:b/>
          <w:sz w:val="26"/>
        </w:rPr>
        <w:t>Research Topic</w:t>
      </w:r>
    </w:p>
    <w:p>
      <w:pPr>
        <w:jc w:val="center"/>
      </w:pPr>
      <w:r>
        <w:rPr>
          <w:sz w:val="24"/>
        </w:rPr>
        <w:t>cervical cancer brachytherapy</w:t>
      </w:r>
    </w:p>
    <w:p/>
    <w:p>
      <w:pPr>
        <w:jc w:val="center"/>
      </w:pPr>
      <w:r>
        <w:rPr>
          <w:sz w:val="20"/>
        </w:rPr>
        <w:t>Generated: 06 August 2026, 09:30 AM</w:t>
      </w:r>
    </w:p>
    <w:p>
      <w:pPr>
        <w:jc w:val="center"/>
      </w:pPr>
      <w:r>
        <w:rPr>
          <w:sz w:val="20"/>
        </w:rPr>
        <w:t>Application Version: 1.0</w:t>
      </w:r>
    </w:p>
    <w:p>
      <w:r>
        <w:br w:type="page"/>
      </w:r>
    </w:p>
    <w:p>
      <w:pPr>
        <w:pStyle w:val="Heading1"/>
      </w:pPr>
      <w:r>
        <w:t>Paper 1</w:t>
      </w:r>
    </w:p>
    <w:p>
      <w:pPr>
        <w:spacing w:after="120"/>
      </w:pPr>
      <w:r>
        <w:rPr>
          <w:b/>
          <w:sz w:val="22"/>
        </w:rPr>
        <w:t xml:space="preserve">Title: </w:t>
      </w:r>
      <w:r>
        <w:rPr>
          <w:sz w:val="22"/>
        </w:rPr>
        <w:t>The impact of uterine position during brachytherapy on treatment outcomes and toxicity in patients with cervical cancer.</w:t>
      </w:r>
    </w:p>
    <w:p>
      <w:pPr>
        <w:spacing w:after="120"/>
      </w:pPr>
      <w:r>
        <w:rPr>
          <w:b/>
          <w:sz w:val="22"/>
        </w:rPr>
        <w:t xml:space="preserve">Authors: </w:t>
      </w:r>
      <w:r>
        <w:rPr>
          <w:sz w:val="22"/>
        </w:rPr>
        <w:t>Yigit E, Gultekin M, Bayatfard P, Yuce Sari S, Biltekin F, Yildiz F</w:t>
      </w:r>
    </w:p>
    <w:p>
      <w:pPr>
        <w:spacing w:after="120"/>
      </w:pPr>
      <w:r>
        <w:rPr>
          <w:b/>
          <w:sz w:val="22"/>
        </w:rPr>
        <w:t xml:space="preserve">Journal: </w:t>
      </w:r>
      <w:r>
        <w:rPr>
          <w:sz w:val="22"/>
        </w:rPr>
        <w:t>Strahlentherapie und Onkologie : Organ der Deutschen Rontgengesellschaft ... [et al]</w:t>
      </w:r>
    </w:p>
    <w:p>
      <w:pPr>
        <w:spacing w:after="120"/>
      </w:pPr>
      <w:r>
        <w:rPr>
          <w:b/>
          <w:sz w:val="22"/>
        </w:rPr>
        <w:t xml:space="preserve">Year: </w:t>
      </w:r>
      <w:r>
        <w:rPr>
          <w:sz w:val="22"/>
        </w:rPr>
        <w:t>2026</w:t>
      </w:r>
    </w:p>
    <w:p>
      <w:pPr>
        <w:pStyle w:val="Heading2"/>
      </w:pPr>
      <w:r>
        <w:t>Abstract</w:t>
      </w:r>
    </w:p>
    <w:p>
      <w:pPr>
        <w:spacing w:after="160" w:line="276" w:lineRule="auto"/>
      </w:pPr>
      <w:r>
        <w:t>To evaluate the impact of uterine position during brachytherapy on dosimetric parameters, oncologic outcomes, and toxicity in cervical cancer patients treated with external beam radiotherapy (EBRT) followed by high-dose-rate intracavitary brachytherapy (HDR-ICBT). A retrospective analysis was conducted on 278 non-metastatic cervical cancer patients treated between 2012 and 2022. All received 45-50.4 Gy EBRT followed by 28 Gy HDR-ICBT in four fractions. Uterine position was documented for each ICBT fraction, and patients with inter-fraction variations were excluded. In total, 251 patients met the inclusion criteria: 222 (88%) had an anteverted and 29 (12%) had a retroverted uterus. Median follow-up was 44 months (range: 1-134 months). The 2- and 5‑year overall survival rate was 82% and 71% for an anteverted vs. 77% and 77% for a retroverted uterus (p = 0.8). Local recurrence developed in 21 (10%) and three (11%) patients, respectively (p = 0.89). Median doses to the high- and intermediate-risk clinical target volumes (CTV) were higher with an anteverted uterus (91.3 vs. 89.8 Gy, p = 0.001; and 67.4 vs. 65.9 Gy, p = 0.044). A retroverted uterus was associated with higher rectum (76.3 vs. 79.7 Gy, p = 0.001) and bowel doses (66.4 vs. 73.7 Gy, p = 0.023), yet lower sigmoid doses (63.4 vs. 59.9 Gy, p = 0.005). Severe toxicity rates were similar, although late grade 1-2 gastrointestinal toxicity was more frequent in the retroverted group (4% vs. 17%, p = 0.019). A retroverted uterine position during ICBT was associated with lower CTV doses and higher rectum and bowel doses while oncologic outcomes and severe toxicity remained comparable.</w:t>
      </w:r>
    </w:p>
    <w:p>
      <w:pPr>
        <w:pStyle w:val="Heading2"/>
      </w:pPr>
      <w:r>
        <w:t>Claude Analysis</w:t>
      </w:r>
    </w:p>
    <w:p>
      <w:pPr>
        <w:spacing w:after="120"/>
      </w:pPr>
      <w:r>
        <w:rPr>
          <w:b/>
          <w:sz w:val="22"/>
        </w:rPr>
        <w:t xml:space="preserve">Study Design: </w:t>
      </w:r>
      <w:r>
        <w:rPr>
          <w:sz w:val="22"/>
        </w:rPr>
        <w:t>Retrospective cohort study of 251 cervical cancer patients treated with EBRT followed by HDR-ICBT, comparing anteverted vs. retroverted uterine positions.</w:t>
      </w:r>
    </w:p>
    <w:p>
      <w:pPr>
        <w:spacing w:after="120"/>
      </w:pPr>
      <w:r>
        <w:rPr>
          <w:b/>
          <w:sz w:val="22"/>
        </w:rPr>
        <w:t xml:space="preserve">Key Findings: </w:t>
      </w:r>
      <w:r>
        <w:rPr>
          <w:sz w:val="22"/>
        </w:rPr>
        <w:t>Anteverted uterus was associated with higher doses to high- and intermediate-risk CTVs, while retroverted uterus was associated with higher rectum and bowel doses but lower sigmoid doses. Oncologic outcomes (overall survival, local recurrence) and severe toxicity rates were comparable between groups, though late grade 1-2 gastrointestinal toxicity was more frequent with a retroverted uterus.</w:t>
      </w:r>
    </w:p>
    <w:p>
      <w:pPr>
        <w:spacing w:after="120"/>
      </w:pPr>
      <w:r>
        <w:rPr>
          <w:b/>
          <w:sz w:val="22"/>
        </w:rPr>
        <w:t xml:space="preserve">Clinical Significance: </w:t>
      </w:r>
      <w:r>
        <w:rPr>
          <w:sz w:val="22"/>
        </w:rPr>
        <w:t>Uterine position during brachytherapy affects dose distribution to target volumes and organs at risk, highlighting the need for position-specific planning optimization. Despite dosimetric differences, similar oncologic outcomes suggest current practices adequately manage retroverted uterus cases, though minor toxicity risks should be considered.</w:t>
      </w:r>
    </w:p>
    <w:p>
      <w:pPr>
        <w:spacing w:after="120"/>
      </w:pPr>
      <w:r>
        <w:rPr>
          <w:b/>
          <w:sz w:val="22"/>
        </w:rPr>
        <w:t xml:space="preserve">Limitations: </w:t>
      </w:r>
      <w:r>
        <w:rPr>
          <w:sz w:val="22"/>
        </w:rPr>
        <w:t>Retrospective design with potential selection bias; small sample size in the retroverted uterus subgroup (29 patients) limits statistical power.</w:t>
      </w:r>
    </w:p>
    <w:p>
      <w:pPr>
        <w:spacing w:after="120"/>
      </w:pPr>
      <w:r>
        <w:rPr>
          <w:b/>
          <w:sz w:val="22"/>
        </w:rPr>
        <w:t xml:space="preserve">Keywords: </w:t>
      </w:r>
      <w:r>
        <w:rPr>
          <w:sz w:val="22"/>
        </w:rPr>
        <w:t>cervical cancer, brachytherapy, uterine position, dosimetry, toxicity</w:t>
      </w:r>
    </w:p>
    <w:p/>
    <w:p>
      <w:r>
        <w:t>----------------------------------------------------------------------</w:t>
      </w:r>
    </w:p>
    <w:p/>
    <w:p>
      <w:pPr>
        <w:pStyle w:val="Heading1"/>
      </w:pPr>
      <w:r>
        <w:t>Paper 2</w:t>
      </w:r>
    </w:p>
    <w:p>
      <w:pPr>
        <w:spacing w:after="120"/>
      </w:pPr>
      <w:r>
        <w:rPr>
          <w:b/>
          <w:sz w:val="22"/>
        </w:rPr>
        <w:t xml:space="preserve">Title: </w:t>
      </w:r>
      <w:r>
        <w:rPr>
          <w:sz w:val="22"/>
        </w:rPr>
        <w:t>Efficacy and Safety of Camrelizumab Combined with Concurrent Chemoradiotherapy in Locally Advanced Cervical Cancer: A Phase II Single-Arm Clinical Trial.</w:t>
      </w:r>
    </w:p>
    <w:p>
      <w:pPr>
        <w:spacing w:after="120"/>
      </w:pPr>
      <w:r>
        <w:rPr>
          <w:b/>
          <w:sz w:val="22"/>
        </w:rPr>
        <w:t xml:space="preserve">Authors: </w:t>
      </w:r>
      <w:r>
        <w:rPr>
          <w:sz w:val="22"/>
        </w:rPr>
        <w:t>Xiao Y, Yang L, Yu X, Cheng HJ, Feng XJ</w:t>
      </w:r>
    </w:p>
    <w:p>
      <w:pPr>
        <w:spacing w:after="120"/>
      </w:pPr>
      <w:r>
        <w:rPr>
          <w:b/>
          <w:sz w:val="22"/>
        </w:rPr>
        <w:t xml:space="preserve">Journal: </w:t>
      </w:r>
      <w:r>
        <w:rPr>
          <w:sz w:val="22"/>
        </w:rPr>
        <w:t>Clinical oncology (Royal College of Radiologists (Great Britain))</w:t>
      </w:r>
    </w:p>
    <w:p>
      <w:pPr>
        <w:spacing w:after="120"/>
      </w:pPr>
      <w:r>
        <w:rPr>
          <w:b/>
          <w:sz w:val="22"/>
        </w:rPr>
        <w:t xml:space="preserve">Year: </w:t>
      </w:r>
      <w:r>
        <w:rPr>
          <w:sz w:val="22"/>
        </w:rPr>
        <w:t>2026</w:t>
      </w:r>
    </w:p>
    <w:p>
      <w:pPr>
        <w:pStyle w:val="Heading2"/>
      </w:pPr>
      <w:r>
        <w:t>Abstract</w:t>
      </w:r>
    </w:p>
    <w:p>
      <w:pPr>
        <w:spacing w:after="160" w:line="276" w:lineRule="auto"/>
      </w:pPr>
      <w:r>
        <w:t>This clinical investigation evaluated the efficacy and safety of the immune checkpoint inhibitor camrelizumab administered with concurrent chemoradiotherapy in patients with locally advanced cervical cancer. This prospective trial enrolled patients aged 18-75 years with previously untreated cervical cancer classified as stage IIB to IVA according to the 2018 International Federation of Gynecology and Obstetrics system. Patients received intensity-modulated radiotherapy (IMRT) or volumetric modulated arc therapy (VMAT) external-beam radiotherapy combined with three-dimensional brachytherapy, cisplatin chemotherapy, and camrelizumab 200 mg every 3 weeks for up to 1 year. Progression-free survival (PFS) was the primary endpoint; overall survival (OS) was a secondary exploratory endpoint of interest. Secondary endpoints also included treatment safety. A total of 50 patients were enrolled between February 2021 and July 2022. The majority had International Federation of Gynecology and Obstetrics (FIGO) 2018 stage IIIC1r/IIIC2r (70.0%) disease. The median age was 50.2 years (range, 30-65), and the median follow-up duration was 46.3 months (range, 37.5-55.4 months). The median PFS was not reached, and the 36-month PFS rate was 84.0% (95 % confidence interval [CI]: 73.8-94.2 %) The 36-month OS rate was 100%, and the median OS was not reached. Exploratory subgroup analyses for PFS and OS based on PD-L1 status and FIGO 2018 stage demonstrated favorable survival outcomes across subgroups, with no statistically significant difference between the PD-L1 positive and negative subgroups (log-rank P &gt; 0.05). Treatment-related adverse events occurred in 96% of patients, although grade 3 or higher events were infrequent (0-18.0%), most commonly hematologic toxicity and enteritis. Immune-related adverse events (irAEs) occurred in 92.0% (46/50) of patients, and grade 3 or higher immune-related events occurred in 4.0% (2/50), including one case of conjunctivitis (2.0%, 1/50) and one case of lateral rectus muscle paralysis (2.0%, 1/50). No treatment-related mortalities or cases of irreversible organ damage were observed. An exploratory analysis examining the association between the total EQD2 radiation dose (≥85 Gy vs &lt;85 Gy) and key outcomes (PFS, OS, grade ≥3 toxicities) found no statistically significant associations, likely due to the small sample size. One patient did not complete the 12-cycle imaging assessment on time. In this exploratory phase II single-arm study, camrelizumab administered with concurrent chemoradiotherapy demonstrated promising long-term survival outcomes and manageable toxicities in patients with locally advanced cervical cancer, providing preliminary support for further investigation.</w:t>
      </w:r>
    </w:p>
    <w:p>
      <w:pPr>
        <w:pStyle w:val="Heading2"/>
      </w:pPr>
      <w:r>
        <w:t>Claude Analysis</w:t>
      </w:r>
    </w:p>
    <w:p>
      <w:pPr>
        <w:spacing w:after="120"/>
      </w:pPr>
      <w:r>
        <w:rPr>
          <w:b/>
          <w:sz w:val="22"/>
        </w:rPr>
        <w:t xml:space="preserve">Study Design: </w:t>
      </w:r>
      <w:r>
        <w:rPr>
          <w:sz w:val="22"/>
        </w:rPr>
        <w:t>Prospective phase II single-arm clinical trial in 50 patients with locally advanced cervical cancer (FIGO 2018 stage IIB-IVA).</w:t>
      </w:r>
    </w:p>
    <w:p>
      <w:pPr>
        <w:spacing w:after="120"/>
      </w:pPr>
      <w:r>
        <w:rPr>
          <w:b/>
          <w:sz w:val="22"/>
        </w:rPr>
        <w:t xml:space="preserve">Key Findings: </w:t>
      </w:r>
      <w:r>
        <w:rPr>
          <w:sz w:val="22"/>
        </w:rPr>
        <w:t>Camrelizumab combined with concurrent chemoradiotherapy achieved a 36-month PFS rate of 84.0% and OS rate of 100%, with median PFS and OS not reached after 46.3 months follow-up. Treatment-related adverse events occurred in 96% of patients, with grade ≥3 events infrequent; immune-related adverse events occurred in 92.0%, mostly low grade. No treatment-related deaths or irreversible organ damage occurred, and outcomes were similar regardless of PD-L1 status.</w:t>
      </w:r>
    </w:p>
    <w:p>
      <w:pPr>
        <w:spacing w:after="120"/>
      </w:pPr>
      <w:r>
        <w:rPr>
          <w:b/>
          <w:sz w:val="22"/>
        </w:rPr>
        <w:t xml:space="preserve">Clinical Significance: </w:t>
      </w:r>
      <w:r>
        <w:rPr>
          <w:sz w:val="22"/>
        </w:rPr>
        <w:t>These results suggest camrelizumab combined with chemoradiotherapy is a feasible and effective treatment option for locally advanced cervical cancer, offering promising survival outcomes with manageable toxicity. This supports further investigation of immune checkpoint inhibitors as an adjunct to standard chemoradiotherapy in this setting.</w:t>
      </w:r>
    </w:p>
    <w:p>
      <w:pPr>
        <w:spacing w:after="120"/>
      </w:pPr>
      <w:r>
        <w:rPr>
          <w:b/>
          <w:sz w:val="22"/>
        </w:rPr>
        <w:t xml:space="preserve">Limitations: </w:t>
      </w:r>
      <w:r>
        <w:rPr>
          <w:sz w:val="22"/>
        </w:rPr>
        <w:t>Small single-arm sample size without a control group limits definitive efficacy conclusions and statistical power for subgroup analyses.</w:t>
      </w:r>
    </w:p>
    <w:p>
      <w:pPr>
        <w:spacing w:after="120"/>
      </w:pPr>
      <w:r>
        <w:rPr>
          <w:b/>
          <w:sz w:val="22"/>
        </w:rPr>
        <w:t xml:space="preserve">Keywords: </w:t>
      </w:r>
      <w:r>
        <w:rPr>
          <w:sz w:val="22"/>
        </w:rPr>
        <w:t>camrelizumab, cervical cancer, chemoradiotherapy, immune checkpoint inhibitor, phase II trial</w:t>
      </w:r>
    </w:p>
    <w:p/>
    <w:p>
      <w:r>
        <w:t>----------------------------------------------------------------------</w:t>
      </w:r>
    </w:p>
    <w:p/>
    <w:p>
      <w:pPr>
        <w:pStyle w:val="Heading1"/>
      </w:pPr>
      <w:r>
        <w:t>Paper 3</w:t>
      </w:r>
    </w:p>
    <w:p>
      <w:pPr>
        <w:spacing w:after="120"/>
      </w:pPr>
      <w:r>
        <w:rPr>
          <w:b/>
          <w:sz w:val="22"/>
        </w:rPr>
        <w:t xml:space="preserve">Title: </w:t>
      </w:r>
      <w:r>
        <w:rPr>
          <w:sz w:val="22"/>
        </w:rPr>
        <w:t>Can stereotactic body radiotherapy replace brachytherapy in gynecologic cancers? A systematic review of current evidence.</w:t>
      </w:r>
    </w:p>
    <w:p>
      <w:pPr>
        <w:spacing w:after="120"/>
      </w:pPr>
      <w:r>
        <w:rPr>
          <w:b/>
          <w:sz w:val="22"/>
        </w:rPr>
        <w:t xml:space="preserve">Authors: </w:t>
      </w:r>
      <w:r>
        <w:rPr>
          <w:sz w:val="22"/>
        </w:rPr>
        <w:t>Ruiz PV, Vacas AI, Arenas ÁV</w:t>
      </w:r>
    </w:p>
    <w:p>
      <w:pPr>
        <w:spacing w:after="120"/>
      </w:pPr>
      <w:r>
        <w:rPr>
          <w:b/>
          <w:sz w:val="22"/>
        </w:rPr>
        <w:t xml:space="preserve">Journal: </w:t>
      </w:r>
      <w:r>
        <w:rPr>
          <w:sz w:val="22"/>
        </w:rPr>
        <w:t>Clinical and translational radiation oncology</w:t>
      </w:r>
    </w:p>
    <w:p>
      <w:pPr>
        <w:spacing w:after="120"/>
      </w:pPr>
      <w:r>
        <w:rPr>
          <w:b/>
          <w:sz w:val="22"/>
        </w:rPr>
        <w:t xml:space="preserve">Year: </w:t>
      </w:r>
      <w:r>
        <w:rPr>
          <w:sz w:val="22"/>
        </w:rPr>
        <w:t>2026</w:t>
      </w:r>
    </w:p>
    <w:p>
      <w:pPr>
        <w:pStyle w:val="Heading2"/>
      </w:pPr>
      <w:r>
        <w:t>Abstract</w:t>
      </w:r>
    </w:p>
    <w:p>
      <w:pPr>
        <w:spacing w:after="160" w:line="276" w:lineRule="auto"/>
      </w:pPr>
      <w:r>
        <w:t>Brachytherapy (BT) is a cornerstone of curative radiotherapy for gynecologic cancers due to its ability to deliver high intratumoral doses with steep dose gradients. Limited availability and declining utilization have increased interest in stereotactic body radiotherapy (SBRT) as a non-invasive alternative. This systematic review evaluates the current evidence comparing SBRT and BT in gynecologic cancers. A systematic search of PubMed, Scopus, EMBASE, Cochrane Library, and Web of Science was conducted for studies published between 2014 and 2025. Eligible studies included dosimetric analyses, observational cohorts, and consensus statements comparing SBRT and BT. Outcomes of interest were target coverage, intratumoral dose escalation, organ-at-risk exposure, conformity and homogeneity indices, and overall survival when available. Eleven studies met the inclusion criteria, including nine dosimetric studies, one population-based cohort, and one consensus guideline, mainly focused on locally advanced cervical cancer. BT consistently achieved superior intratumoral dose escalation and higher central dose heterogeneity, while SBRT showed competitive peripheral target coverage and improved conformity in margin-free scenarios. These advantages were reduced when clinically realistic planning margins were applied. The only available survival analysis reported no significant difference in overall survival between techniques after adjustment for prognostic factors. BT remains the reference standard for dose escalation in gynecologic cancers. SBRT may be considered a selective alternative when BT is not feasible, but prospective studies with standardized planning and long-term follow-up are needed to define its clinical role.</w:t>
      </w:r>
    </w:p>
    <w:p>
      <w:pPr>
        <w:pStyle w:val="Heading2"/>
      </w:pPr>
      <w:r>
        <w:t>Claude Analysis</w:t>
      </w:r>
    </w:p>
    <w:p>
      <w:pPr>
        <w:spacing w:after="120"/>
      </w:pPr>
      <w:r>
        <w:rPr>
          <w:b/>
          <w:sz w:val="22"/>
        </w:rPr>
        <w:t xml:space="preserve">Study Design: </w:t>
      </w:r>
      <w:r>
        <w:rPr>
          <w:sz w:val="22"/>
        </w:rPr>
        <w:t>Systematic review of dosimetric studies, observational cohorts, and consensus statements comparing SBRT and BT in gynecologic cancers.</w:t>
      </w:r>
    </w:p>
    <w:p>
      <w:pPr>
        <w:spacing w:after="120"/>
      </w:pPr>
      <w:r>
        <w:rPr>
          <w:b/>
          <w:sz w:val="22"/>
        </w:rPr>
        <w:t xml:space="preserve">Key Findings: </w:t>
      </w:r>
      <w:r>
        <w:rPr>
          <w:sz w:val="22"/>
        </w:rPr>
        <w:t>BT consistently achieved superior intratumoral dose escalation and higher central dose heterogeneity compared to SBRT. SBRT showed competitive peripheral target coverage and improved conformity, but these advantages diminished with realistic planning margins. The only survival analysis found no significant difference in overall survival between techniques after adjustment for prognostic factors.</w:t>
      </w:r>
    </w:p>
    <w:p>
      <w:pPr>
        <w:spacing w:after="120"/>
      </w:pPr>
      <w:r>
        <w:rPr>
          <w:b/>
          <w:sz w:val="22"/>
        </w:rPr>
        <w:t xml:space="preserve">Clinical Significance: </w:t>
      </w:r>
      <w:r>
        <w:rPr>
          <w:sz w:val="22"/>
        </w:rPr>
        <w:t>BT remains the reference standard for dose escalation in gynecologic cancers, particularly locally advanced cervical cancer. SBRT may serve as a selective alternative when BT is not feasible, but its clinical role requires further validation.</w:t>
      </w:r>
    </w:p>
    <w:p>
      <w:pPr>
        <w:spacing w:after="120"/>
      </w:pPr>
      <w:r>
        <w:rPr>
          <w:b/>
          <w:sz w:val="22"/>
        </w:rPr>
        <w:t xml:space="preserve">Limitations: </w:t>
      </w:r>
      <w:r>
        <w:rPr>
          <w:sz w:val="22"/>
        </w:rPr>
        <w:t>Most included studies were dosimetric analyses rather than clinical outcome studies, with only one survival comparison available. Lack of standardized planning protocols and long-term follow-up data limits definitive conclusions.</w:t>
      </w:r>
    </w:p>
    <w:p>
      <w:pPr>
        <w:spacing w:after="120"/>
      </w:pPr>
      <w:r>
        <w:rPr>
          <w:b/>
          <w:sz w:val="22"/>
        </w:rPr>
        <w:t xml:space="preserve">Keywords: </w:t>
      </w:r>
      <w:r>
        <w:rPr>
          <w:sz w:val="22"/>
        </w:rPr>
        <w:t>brachytherapy, stereotactic body radiotherapy, cervical cancer, gynecologic cancer, dosimetry</w:t>
      </w:r>
    </w:p>
    <w:p/>
    <w:p>
      <w:r>
        <w:t>----------------------------------------------------------------------</w:t>
      </w:r>
    </w:p>
    <w:p/>
    <w:p>
      <w:pPr>
        <w:pStyle w:val="Heading1"/>
      </w:pPr>
      <w:r>
        <w:t>Paper 4</w:t>
      </w:r>
    </w:p>
    <w:p>
      <w:pPr>
        <w:spacing w:after="120"/>
      </w:pPr>
      <w:r>
        <w:rPr>
          <w:b/>
          <w:sz w:val="22"/>
        </w:rPr>
        <w:t xml:space="preserve">Title: </w:t>
      </w:r>
      <w:r>
        <w:rPr>
          <w:sz w:val="22"/>
        </w:rPr>
        <w:t>Editorial: Optimizing radiotherapy for cervical cancer efficacy toxicity and brachytherapy integration.</w:t>
      </w:r>
    </w:p>
    <w:p>
      <w:pPr>
        <w:spacing w:after="120"/>
      </w:pPr>
      <w:r>
        <w:rPr>
          <w:b/>
          <w:sz w:val="22"/>
        </w:rPr>
        <w:t xml:space="preserve">Authors: </w:t>
      </w:r>
      <w:r>
        <w:rPr>
          <w:sz w:val="22"/>
        </w:rPr>
        <w:t>Vergalasova I, Jiang C, Song T, Lombe D</w:t>
      </w:r>
    </w:p>
    <w:p>
      <w:pPr>
        <w:spacing w:after="120"/>
      </w:pPr>
      <w:r>
        <w:rPr>
          <w:b/>
          <w:sz w:val="22"/>
        </w:rPr>
        <w:t xml:space="preserve">Journal: </w:t>
      </w:r>
      <w:r>
        <w:rPr>
          <w:sz w:val="22"/>
        </w:rPr>
        <w:t>Frontiers in oncology</w:t>
      </w:r>
    </w:p>
    <w:p>
      <w:pPr>
        <w:spacing w:after="120"/>
      </w:pPr>
      <w:r>
        <w:rPr>
          <w:b/>
          <w:sz w:val="22"/>
        </w:rPr>
        <w:t xml:space="preserve">Year: </w:t>
      </w:r>
      <w:r>
        <w:rPr>
          <w:sz w:val="22"/>
        </w:rPr>
        <w:t>2026</w:t>
      </w:r>
    </w:p>
    <w:p>
      <w:pPr>
        <w:pStyle w:val="Heading2"/>
      </w:pPr>
      <w:r>
        <w:t>Abstract</w:t>
      </w:r>
    </w:p>
    <w:p>
      <w:pPr>
        <w:spacing w:after="160" w:line="276" w:lineRule="auto"/>
      </w:pPr>
      <w:r>
        <w:t>No abstract available.</w:t>
      </w:r>
    </w:p>
    <w:p>
      <w:pPr>
        <w:pStyle w:val="Heading2"/>
      </w:pPr>
      <w:r>
        <w:t>Claude Analysis</w:t>
      </w:r>
    </w:p>
    <w:p>
      <w:pPr>
        <w:spacing w:after="120"/>
      </w:pPr>
      <w:r>
        <w:rPr>
          <w:b/>
          <w:sz w:val="22"/>
        </w:rPr>
        <w:t xml:space="preserve">Study Design: </w:t>
      </w:r>
      <w:r>
        <w:rPr>
          <w:sz w:val="22"/>
        </w:rPr>
        <w:t>Not specified</w:t>
      </w:r>
    </w:p>
    <w:p>
      <w:pPr>
        <w:spacing w:after="120"/>
      </w:pPr>
      <w:r>
        <w:rPr>
          <w:b/>
          <w:sz w:val="22"/>
        </w:rPr>
        <w:t xml:space="preserve">Key Findings: </w:t>
      </w:r>
      <w:r>
        <w:rPr>
          <w:sz w:val="22"/>
        </w:rPr>
        <w:t>Not specified</w:t>
      </w:r>
    </w:p>
    <w:p>
      <w:pPr>
        <w:spacing w:after="120"/>
      </w:pPr>
      <w:r>
        <w:rPr>
          <w:b/>
          <w:sz w:val="22"/>
        </w:rPr>
        <w:t xml:space="preserve">Clinical Significance: </w:t>
      </w:r>
      <w:r>
        <w:rPr>
          <w:sz w:val="22"/>
        </w:rPr>
        <w:t>Not specified</w:t>
      </w:r>
    </w:p>
    <w:p>
      <w:pPr>
        <w:spacing w:after="120"/>
      </w:pPr>
      <w:r>
        <w:rPr>
          <w:b/>
          <w:sz w:val="22"/>
        </w:rPr>
        <w:t xml:space="preserve">Limitations: </w:t>
      </w:r>
      <w:r>
        <w:rPr>
          <w:sz w:val="22"/>
        </w:rPr>
        <w:t>Not specified</w:t>
      </w:r>
    </w:p>
    <w:p>
      <w:pPr>
        <w:spacing w:after="120"/>
      </w:pPr>
      <w:r>
        <w:rPr>
          <w:b/>
          <w:sz w:val="22"/>
        </w:rPr>
        <w:t xml:space="preserve">Keywords: </w:t>
      </w:r>
      <w:r>
        <w:rPr>
          <w:sz w:val="22"/>
        </w:rPr>
        <w:t>cervical cancer, radiotherapy, brachytherapy, toxicity, treatment efficacy</w:t>
      </w:r>
    </w:p>
    <w:p/>
    <w:p>
      <w:r>
        <w:t>----------------------------------------------------------------------</w:t>
      </w:r>
    </w:p>
    <w:p/>
    <w:p>
      <w:pPr>
        <w:pStyle w:val="Heading1"/>
      </w:pPr>
      <w:r>
        <w:t>Paper 5</w:t>
      </w:r>
    </w:p>
    <w:p>
      <w:pPr>
        <w:spacing w:after="120"/>
      </w:pPr>
      <w:r>
        <w:rPr>
          <w:b/>
          <w:sz w:val="22"/>
        </w:rPr>
        <w:t xml:space="preserve">Title: </w:t>
      </w:r>
      <w:r>
        <w:rPr>
          <w:sz w:val="22"/>
        </w:rPr>
        <w:t>Image-guided brachytherapy for locally advanced cervical cancer: clinical outcomes and fistula risk in stage IVA disease.</w:t>
      </w:r>
    </w:p>
    <w:p>
      <w:pPr>
        <w:spacing w:after="120"/>
      </w:pPr>
      <w:r>
        <w:rPr>
          <w:b/>
          <w:sz w:val="22"/>
        </w:rPr>
        <w:t xml:space="preserve">Authors: </w:t>
      </w:r>
      <w:r>
        <w:rPr>
          <w:sz w:val="22"/>
        </w:rPr>
        <w:t>Landman Y, De Sousa Smith C, Ke S, Roumeliotis M, Rezaee M, Lee J, Schmidt EJ, Hu C, Viswanathan AN</w:t>
      </w:r>
    </w:p>
    <w:p>
      <w:pPr>
        <w:spacing w:after="120"/>
      </w:pPr>
      <w:r>
        <w:rPr>
          <w:b/>
          <w:sz w:val="22"/>
        </w:rPr>
        <w:t xml:space="preserve">Journal: </w:t>
      </w:r>
      <w:r>
        <w:rPr>
          <w:sz w:val="22"/>
        </w:rPr>
        <w:t>International journal of gynecological cancer : official journal of the International Gynecological Cancer Society</w:t>
      </w:r>
    </w:p>
    <w:p>
      <w:pPr>
        <w:spacing w:after="120"/>
      </w:pPr>
      <w:r>
        <w:rPr>
          <w:b/>
          <w:sz w:val="22"/>
        </w:rPr>
        <w:t xml:space="preserve">Year: </w:t>
      </w:r>
      <w:r>
        <w:rPr>
          <w:sz w:val="22"/>
        </w:rPr>
        <w:t>2026</w:t>
      </w:r>
    </w:p>
    <w:p>
      <w:pPr>
        <w:pStyle w:val="Heading2"/>
      </w:pPr>
      <w:r>
        <w:t>Abstract</w:t>
      </w:r>
    </w:p>
    <w:p>
      <w:pPr>
        <w:spacing w:after="160" w:line="276" w:lineRule="auto"/>
      </w:pPr>
      <w:r>
        <w:t>To report outcomes for patients with locally advanced cervical cancer, with a focus on stage IVA disease, and to explore factors associated with fistula formation. Clinical data from patients with cervical cancer treated with primary chemoradiotherapy and magnetic resonance imaging-guided brachytherapy were retrospectively reviewed. Oncologic outcomes (overall survival, disease-free survival, and central failure) were assessed using Kaplan-Meier, Cox regression, and competing-risk analyses. Logistic regression was used to assess factors associated with any fistula and late-occurring fistula. A total of 151 patients had a median follow-up of 2.9 years; 22/151 (14.6%) had stage IVA disease. Compared with stages I to III, stage IVA disease was associated with worse disease-free survival (hazard ratio 2.79, 95% confidence interval 1.59 to 4.91, p &lt; .001) and overall survival (hazard ratio 4.81, 95% confidence interval 2.48 to 9.32, p &lt; .001), but not with central failure (hazard ratio 1.28, 95% confidence interval 0.36 to 4.63, p = .7). HR-CTV D90 is the minimum radiation dose (in Gy) delivered to 90% of the high-risk clinical target volume did not differ significantly by stage, although bladder and rectum D2cc doses were higher in patients stage IVA due to organ invasion. Multivariable analysis identified prognostic factors for any fistula of body mass index &lt;20 kg/m Patients with stage IVA disease have worse disease-free survival and overall survival, but not central failure, compared to patients with stages I to III disease. Magnetic resonance imaging-guided brachytherapy results in a low incidence of central failure across stages. Several comorbidities and disease-related factors impact the risk of fistula formation.</w:t>
      </w:r>
    </w:p>
    <w:p>
      <w:pPr>
        <w:pStyle w:val="Heading2"/>
      </w:pPr>
      <w:r>
        <w:t>Claude Analysis</w:t>
      </w:r>
    </w:p>
    <w:p>
      <w:pPr>
        <w:spacing w:after="120"/>
      </w:pPr>
      <w:r>
        <w:rPr>
          <w:b/>
          <w:sz w:val="22"/>
        </w:rPr>
        <w:t xml:space="preserve">Study Design: </w:t>
      </w:r>
      <w:r>
        <w:rPr>
          <w:sz w:val="22"/>
        </w:rPr>
        <w:t>Retrospective cohort study of 151 cervical cancer patients treated with chemoradiotherapy and MRI-guided brachytherapy.</w:t>
      </w:r>
    </w:p>
    <w:p>
      <w:pPr>
        <w:spacing w:after="120"/>
      </w:pPr>
      <w:r>
        <w:rPr>
          <w:b/>
          <w:sz w:val="22"/>
        </w:rPr>
        <w:t xml:space="preserve">Key Findings: </w:t>
      </w:r>
      <w:r>
        <w:rPr>
          <w:sz w:val="22"/>
        </w:rPr>
        <w:t>Stage IVA disease was associated with significantly worse disease-free survival and overall survival compared to stages I-III, but not with increased central failure. HR-CTV D90 doses did not differ by stage, though bladder and rectum D2cc doses were higher in stage IVA due to organ invasion. Several comorbidities and disease-related factors, including low body mass index, were associated with increased fistula risk.</w:t>
      </w:r>
    </w:p>
    <w:p>
      <w:pPr>
        <w:spacing w:after="120"/>
      </w:pPr>
      <w:r>
        <w:rPr>
          <w:b/>
          <w:sz w:val="22"/>
        </w:rPr>
        <w:t xml:space="preserve">Clinical Significance: </w:t>
      </w:r>
      <w:r>
        <w:rPr>
          <w:sz w:val="22"/>
        </w:rPr>
        <w:t>MRI-guided brachytherapy achieves low central failure rates even in stage IVA disease, supporting its use in locally advanced cervical cancer. Identifying fistula risk factors can help clinicians better counsel and monitor high-risk patients.</w:t>
      </w:r>
    </w:p>
    <w:p>
      <w:pPr>
        <w:spacing w:after="120"/>
      </w:pPr>
      <w:r>
        <w:rPr>
          <w:b/>
          <w:sz w:val="22"/>
        </w:rPr>
        <w:t xml:space="preserve">Limitations: </w:t>
      </w:r>
      <w:r>
        <w:rPr>
          <w:sz w:val="22"/>
        </w:rPr>
        <w:t>Retrospective design with a relatively small subgroup of stage IVA patients (n=22) limits statistical power and generalizability.</w:t>
      </w:r>
    </w:p>
    <w:p>
      <w:pPr>
        <w:spacing w:after="120"/>
      </w:pPr>
      <w:r>
        <w:rPr>
          <w:b/>
          <w:sz w:val="22"/>
        </w:rPr>
        <w:t xml:space="preserve">Keywords: </w:t>
      </w:r>
      <w:r>
        <w:rPr>
          <w:sz w:val="22"/>
        </w:rPr>
        <w:t>cervical cancer, brachytherapy, stage IVA, fistula, chemoradiotherapy</w:t>
      </w:r>
    </w:p>
    <w:p/>
    <w:p>
      <w:r>
        <w:t>----------------------------------------------------------------------</w:t>
      </w:r>
    </w:p>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Generated by Radiotherapy Research Assistant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