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Radiotherapy Research Assistant</w:t>
      </w:r>
    </w:p>
    <w:p>
      <w:pPr>
        <w:jc w:val="center"/>
      </w:pPr>
      <w:r>
        <w:rPr>
          <w:i/>
          <w:sz w:val="32"/>
        </w:rPr>
        <w:t>Evidence-Based Research Report</w:t>
      </w:r>
    </w:p>
    <w:p>
      <w:r>
        <w:br/>
      </w:r>
    </w:p>
    <w:p>
      <w:pPr>
        <w:jc w:val="center"/>
      </w:pPr>
      <w:r>
        <w:rPr>
          <w:b/>
          <w:sz w:val="26"/>
        </w:rPr>
        <w:t>Research Question</w:t>
      </w:r>
    </w:p>
    <w:p>
      <w:pPr>
        <w:jc w:val="center"/>
      </w:pPr>
      <w:r>
        <w:rPr>
          <w:sz w:val="24"/>
        </w:rPr>
        <w:t>What are the latest advances in cervical cancer brachytherapy?</w:t>
      </w:r>
    </w:p>
    <w:p>
      <w:r>
        <w:br/>
      </w:r>
    </w:p>
    <w:p>
      <w:pPr>
        <w:jc w:val="center"/>
      </w:pPr>
      <w:r>
        <w:rPr>
          <w:sz w:val="20"/>
        </w:rPr>
        <w:t>Generated: 06 August 2026, 12:27 AM</w:t>
      </w:r>
    </w:p>
    <w:p>
      <w:pPr>
        <w:jc w:val="center"/>
      </w:pPr>
      <w:r>
        <w:rPr>
          <w:sz w:val="20"/>
        </w:rPr>
        <w:t>Application Version: 1.0</w:t>
      </w:r>
    </w:p>
    <w:p>
      <w:r>
        <w:br w:type="page"/>
      </w:r>
    </w:p>
    <w:p>
      <w:pPr>
        <w:pStyle w:val="Heading1"/>
      </w:pPr>
      <w:r>
        <w:t>AI Research Summary</w:t>
      </w:r>
    </w:p>
    <w:p>
      <w:pPr>
        <w:pStyle w:val="Heading1"/>
      </w:pPr>
      <w:r>
        <w:t>Cervical Cancer Brachytherapy: Latest Advances</w:t>
      </w:r>
    </w:p>
    <w:p>
      <w:pPr>
        <w:pStyle w:val="Heading2"/>
      </w:pPr>
      <w:r>
        <w:t>1. Research Summary</w:t>
      </w:r>
    </w:p>
    <w:p>
      <w:pPr>
        <w:spacing w:after="120" w:line="276" w:lineRule="auto"/>
      </w:pPr>
      <w:r>
        <w:rPr>
          <w:sz w:val="22"/>
        </w:rPr>
        <w:t>The retrieved evidence addresses recent developments and alternatives in cervical cancer brachytherapy (BT), focusing on three areas: (1) whether stereotactic body radiotherapy (SBRT) can substitute for BT in gynecologic cancers, (2) whether image-guided external beam radiotherapy (EBRT) boosts using IMRT/VMAT can serve as an alternative when intracavitary brachytherapy (ICBT) is unavailable, and (3) clinical outcomes of image-guided (MRI-guided) brachytherapy for locally advanced cervical cancer, with specific attention to stage IVA disease and fistula risk. Collectively, these papers reflect an ongoing theme in the field: brachytherapy remains the standard of care for dose escalation in cervical cancer, but there is active investigation into non-invasive or alternative techniques for settings where BT is inaccessible, alongside refinement of image-guided BT outcomes data.</w:t>
      </w:r>
    </w:p>
    <w:p>
      <w:pPr>
        <w:pStyle w:val="Heading2"/>
      </w:pPr>
      <w:r>
        <w:t>2. Key Findings</w:t>
      </w:r>
    </w:p>
    <w:p>
      <w:pPr>
        <w:pStyle w:val="ListBullet"/>
      </w:pPr>
      <w:r>
        <w:rPr>
          <w:sz w:val="22"/>
        </w:rPr>
        <w:t>**SBRT vs. BT (Paper 1):**</w:t>
      </w:r>
    </w:p>
    <w:p>
      <w:pPr>
        <w:pStyle w:val="ListBullet"/>
      </w:pPr>
      <w:r>
        <w:rPr>
          <w:sz w:val="22"/>
        </w:rPr>
        <w:t>Eleven studies (nine dosimetric, one population-based cohort, one consensus guideline) compared SBRT and BT, mostly in locally advanced cervical cancer.</w:t>
      </w:r>
    </w:p>
    <w:p>
      <w:pPr>
        <w:pStyle w:val="ListBullet"/>
      </w:pPr>
      <w:r>
        <w:rPr>
          <w:sz w:val="22"/>
        </w:rPr>
        <w:t>BT consistently achieved **superior intratumoral dose escalation** and higher central dose heterogeneity.</w:t>
      </w:r>
    </w:p>
    <w:p>
      <w:pPr>
        <w:pStyle w:val="ListBullet"/>
      </w:pPr>
      <w:r>
        <w:rPr>
          <w:sz w:val="22"/>
        </w:rPr>
        <w:t>SBRT showed **competitive peripheral target coverage** and improved conformity, but only in margin-free planning scenarios; these SBRT advantages diminished when realistic clinical margins were applied.</w:t>
      </w:r>
    </w:p>
    <w:p>
      <w:pPr>
        <w:pStyle w:val="ListBullet"/>
      </w:pPr>
      <w:r>
        <w:rPr>
          <w:sz w:val="22"/>
        </w:rPr>
        <w:t>The single available survival analysis found **no significant difference in overall survival** between SBRT and BT after adjusting for prognostic factors.</w:t>
      </w:r>
    </w:p>
    <w:p>
      <w:pPr>
        <w:pStyle w:val="ListBullet"/>
      </w:pPr>
      <w:r>
        <w:rPr>
          <w:sz w:val="22"/>
        </w:rPr>
        <w:t>Conclusion: BT remains the reference standard; SBRT may be a selective alternative when BT is infeasible, but prospective studies are needed.</w:t>
      </w:r>
    </w:p>
    <w:p>
      <w:pPr>
        <w:pStyle w:val="ListBullet"/>
      </w:pPr>
      <w:r>
        <w:rPr>
          <w:sz w:val="22"/>
        </w:rPr>
        <w:t>**Image-guided EBRT boost as an alternative to ICBT (Paper 2):**</w:t>
      </w:r>
    </w:p>
    <w:p>
      <w:pPr>
        <w:pStyle w:val="ListBullet"/>
      </w:pPr>
      <w:r>
        <w:rPr>
          <w:sz w:val="22"/>
        </w:rPr>
        <w:t>In 10 prospectively enrolled LACC patients (FIGO IIB–IVA), an IMRT/VMAT-based EBRT boost (with SIB or sequential boost to HR-CTV, prescribed dose ~70 Gy EQD10) was dosimetrically feasible.</w:t>
      </w:r>
    </w:p>
    <w:p>
      <w:pPr>
        <w:pStyle w:val="ListBullet"/>
      </w:pPr>
      <w:r>
        <w:rPr>
          <w:sz w:val="22"/>
        </w:rPr>
        <w:t>This approach achieved a **high, uniform dose to the target** while respecting organ-at-risk (OAR) constraints.</w:t>
      </w:r>
    </w:p>
    <w:p>
      <w:pPr>
        <w:pStyle w:val="ListBullet"/>
      </w:pPr>
      <w:r>
        <w:rPr>
          <w:sz w:val="22"/>
        </w:rPr>
        <w:t>ICBT remains the gold standard, but modern EBRT techniques with daily image guidance may offer a **promising alternative in resource-constrained settings** where ICBT is unavailable.</w:t>
      </w:r>
    </w:p>
    <w:p>
      <w:pPr>
        <w:pStyle w:val="ListBullet"/>
      </w:pPr>
      <w:r>
        <w:rPr>
          <w:sz w:val="22"/>
        </w:rPr>
        <w:t>Findings are dosimetric only; a prospective clinical trial is planned to evaluate clinical outcomes (toxicity, local control).</w:t>
      </w:r>
    </w:p>
    <w:p>
      <w:pPr>
        <w:pStyle w:val="ListBullet"/>
      </w:pPr>
      <w:r>
        <w:rPr>
          <w:sz w:val="22"/>
        </w:rPr>
        <w:t>**MRI-guided brachytherapy outcomes, including stage IVA (Paper 3):**</w:t>
      </w:r>
    </w:p>
    <w:p>
      <w:pPr>
        <w:pStyle w:val="ListBullet"/>
      </w:pPr>
      <w:r>
        <w:rPr>
          <w:sz w:val="22"/>
        </w:rPr>
        <w:t>In 151 patients treated with chemoradiotherapy and MRI-guided brachytherapy (14.6% stage IVA), stage IVA disease was associated with significantly worse disease-free survival (HR 2.79) and overall survival (HR 4.81) compared with stages I–III, but **not** with increased central failure risk (HR 1.28, not significant).</w:t>
      </w:r>
    </w:p>
    <w:p>
      <w:pPr>
        <w:pStyle w:val="ListBullet"/>
      </w:pPr>
      <w:r>
        <w:rPr>
          <w:sz w:val="22"/>
        </w:rPr>
        <w:t>HR-CTV D90 (dose to 90% of high-risk clinical target volume) did not differ significantly by stage, though **bladder and rectal D2cc doses were higher in stage IVA** patients due to organ invasion.</w:t>
      </w:r>
    </w:p>
    <w:p>
      <w:pPr>
        <w:pStyle w:val="ListBullet"/>
      </w:pPr>
      <w:r>
        <w:rPr>
          <w:sz w:val="22"/>
        </w:rPr>
        <w:t>MRI-guided BT achieved **low central failure rates across all stages**, underscoring strong local control even in advanced disease.</w:t>
      </w:r>
    </w:p>
    <w:p>
      <w:pPr>
        <w:pStyle w:val="Heading1"/>
      </w:pPr>
      <w:r>
        <w:t>Supporting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[1]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Can stereotactic body radiotherapy replace brachytherapy in gynecologic cancers? A systematic review of current evidence.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Ruiz PV, Vacas AI, Arenas ÁV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Clinical and translational radiation oncology (2026)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[2]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Can image-guided external beam radiotherapy boost be an alternative when intracavitary brachytherapy is unavailable for locally advanced cervical cancer? A dosimetric analysis and literature review.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Liu C, Wang X, Zhang N, Li J, Li X, Wang L, Zhang H, Chen X, Wu X, Zhao P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Journal of contemporary brachytherapy (2026)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[3]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Image-guided brachytherapy for locally advanced cervical cancer: clinical outcomes and fistula risk in stage IVA disease.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Landman Y, De Sousa Smith C, Ke S, Roumeliotis M, Rezaee M, Lee J, Schmidt EJ, Hu C, Viswanathan AN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International journal of gynecological cancer : official journal of the International Gynecological Cancer Society (2026)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Generated by Radiotherapy Research Assistant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