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Radiotherapy Research Assistant</w:t>
      </w:r>
    </w:p>
    <w:p>
      <w:pPr>
        <w:jc w:val="center"/>
      </w:pPr>
      <w:r>
        <w:rPr>
          <w:i/>
          <w:sz w:val="32"/>
        </w:rPr>
        <w:t>Evidence-Based Research Report</w:t>
      </w:r>
    </w:p>
    <w:p>
      <w:r>
        <w:br/>
      </w:r>
    </w:p>
    <w:p>
      <w:pPr>
        <w:jc w:val="center"/>
      </w:pPr>
      <w:r>
        <w:rPr>
          <w:b/>
          <w:sz w:val="26"/>
        </w:rPr>
        <w:t>Research Question</w:t>
      </w:r>
    </w:p>
    <w:p>
      <w:pPr>
        <w:jc w:val="center"/>
      </w:pPr>
      <w:r>
        <w:rPr>
          <w:sz w:val="24"/>
        </w:rPr>
        <w:t>What are the latest advances in cervical cancer brachytherapy?</w:t>
      </w:r>
    </w:p>
    <w:p>
      <w:r>
        <w:br/>
      </w:r>
    </w:p>
    <w:p>
      <w:pPr>
        <w:jc w:val="center"/>
      </w:pPr>
      <w:r>
        <w:rPr>
          <w:sz w:val="20"/>
        </w:rPr>
        <w:t>Generated: 06 August 2026, 12:48 AM</w:t>
      </w:r>
    </w:p>
    <w:p>
      <w:pPr>
        <w:jc w:val="center"/>
      </w:pPr>
      <w:r>
        <w:rPr>
          <w:sz w:val="20"/>
        </w:rPr>
        <w:t>Application Version: 1.0</w:t>
      </w:r>
    </w:p>
    <w:p>
      <w:r>
        <w:br w:type="page"/>
      </w:r>
    </w:p>
    <w:p>
      <w:pPr>
        <w:pStyle w:val="Heading1"/>
      </w:pPr>
      <w:r>
        <w:t>AI Research Summary</w:t>
      </w:r>
    </w:p>
    <w:p>
      <w:pPr>
        <w:pStyle w:val="Heading1"/>
      </w:pPr>
      <w:r>
        <w:t>Cervical Cancer Brachytherapy: Latest Advances</w:t>
      </w:r>
    </w:p>
    <w:p>
      <w:pPr>
        <w:pStyle w:val="Heading2"/>
      </w:pPr>
      <w:r>
        <w:t>1. Research Summary</w:t>
      </w:r>
    </w:p>
    <w:p>
      <w:pPr>
        <w:spacing w:after="120" w:line="276" w:lineRule="auto"/>
      </w:pPr>
      <w:r>
        <w:rPr>
          <w:sz w:val="22"/>
        </w:rPr>
        <w:t>The retrieved evidence addresses recent developments in cervical cancer brachytherapy (BT) from three angles: (1) whether stereotactic body radiotherapy (SBRT) can substitute for BT, (2) whether image-guided external beam radiotherapy (EBRT) boosts can serve as an alternative when intracavitary brachytherapy (ICBT) is unavailable, and (3) clinical outcomes of image-guided (MRI-based) brachytherapy in locally advanced disease, including stage IVA. Collectively, the papers reinforce that BT remains the standard of care for dose escalation but explore feasible alternatives for settings where BT access is limited, alongside real-world outcome data from modern image-guided BT.</w:t>
      </w:r>
    </w:p>
    <w:p>
      <w:pPr>
        <w:pStyle w:val="Heading2"/>
      </w:pPr>
      <w:r>
        <w:t>2. Key Findings</w:t>
      </w:r>
    </w:p>
    <w:p>
      <w:pPr>
        <w:spacing w:after="120" w:line="276" w:lineRule="auto"/>
      </w:pPr>
      <w:r>
        <w:rPr>
          <w:sz w:val="22"/>
        </w:rPr>
        <w:t>**SBRT vs. Brachytherapy (Paper 1):**</w:t>
      </w:r>
    </w:p>
    <w:p>
      <w:pPr>
        <w:pStyle w:val="ListBullet"/>
      </w:pPr>
      <w:r>
        <w:rPr>
          <w:sz w:val="22"/>
        </w:rPr>
        <w:t>Across 11 studies (9 dosimetric, 1 population cohort, 1 consensus guideline), BT consistently achieved **superior intratumoral dose escalation** and greater central dose heterogeneity compared with SBRT.</w:t>
      </w:r>
    </w:p>
    <w:p>
      <w:pPr>
        <w:pStyle w:val="ListBullet"/>
      </w:pPr>
      <w:r>
        <w:rPr>
          <w:sz w:val="22"/>
        </w:rPr>
        <w:t>SBRT showed **competitive peripheral target coverage** and improved conformity, but only in margin-free planning scenarios; these SBRT advantages diminished once clinically realistic planning margins were applied.</w:t>
      </w:r>
    </w:p>
    <w:p>
      <w:pPr>
        <w:pStyle w:val="ListBullet"/>
      </w:pPr>
      <w:r>
        <w:rPr>
          <w:sz w:val="22"/>
        </w:rPr>
        <w:t>The single available survival analysis found **no significant difference in overall survival** between SBRT and BT after adjusting for prognostic factors.</w:t>
      </w:r>
    </w:p>
    <w:p>
      <w:pPr>
        <w:pStyle w:val="ListBullet"/>
      </w:pPr>
      <w:r>
        <w:rPr>
          <w:sz w:val="22"/>
        </w:rPr>
        <w:t>Conclusion of this review: BT remains the reference standard; SBRT may serve as a selective alternative only when BT is not feasible, pending prospective validation.</w:t>
      </w:r>
    </w:p>
    <w:p>
      <w:pPr>
        <w:spacing w:after="120" w:line="276" w:lineRule="auto"/>
      </w:pPr>
      <w:r>
        <w:rPr>
          <w:sz w:val="22"/>
        </w:rPr>
        <w:t>**Image-Guided EBRT Boost as an Alternative to ICBT (Paper 2):**</w:t>
      </w:r>
    </w:p>
    <w:p>
      <w:pPr>
        <w:pStyle w:val="ListBullet"/>
      </w:pPr>
      <w:r>
        <w:rPr>
          <w:sz w:val="22"/>
        </w:rPr>
        <w:t>In 10 prospectively enrolled LACC patients, an IMRT/VMAT-based image-guided EBRT boost (45 Gy/25 fractions plus simultaneous integrated or sequential boost to HR-CTV, total EQD2 70 Gy) was **dosimetrically feasible**, delivering high, uniform target doses while respecting organ-at-risk (OAR) constraints.</w:t>
      </w:r>
    </w:p>
    <w:p>
      <w:pPr>
        <w:pStyle w:val="ListBullet"/>
      </w:pPr>
      <w:r>
        <w:rPr>
          <w:sz w:val="22"/>
        </w:rPr>
        <w:t>This approach is proposed as a **promising alternative in resource-constrained settings** where ICBT is unavailable due to resource limitations, anatomical constraints, or patient refusal.</w:t>
      </w:r>
    </w:p>
    <w:p>
      <w:pPr>
        <w:pStyle w:val="ListBullet"/>
      </w:pPr>
      <w:r>
        <w:rPr>
          <w:sz w:val="22"/>
        </w:rPr>
        <w:t>ICBT remains the gold standard; findings are dosimetric only and support the design of a future prospective clinical trial to assess toxicity and local control outcomes.</w:t>
      </w:r>
    </w:p>
    <w:p>
      <w:pPr>
        <w:spacing w:after="120" w:line="276" w:lineRule="auto"/>
      </w:pPr>
      <w:r>
        <w:rPr>
          <w:sz w:val="22"/>
        </w:rPr>
        <w:t>**MRI-Guided Brachytherapy Outcomes, Including Stage IVA (Paper 3):**</w:t>
      </w:r>
    </w:p>
    <w:p>
      <w:pPr>
        <w:pStyle w:val="ListBullet"/>
      </w:pPr>
      <w:r>
        <w:rPr>
          <w:sz w:val="22"/>
        </w:rPr>
        <w:t>In 151 patients (14.6% stage IVA) treated with chemoradiotherapy and MRI-guided BT, stage IVA disease was associated with **significantly worse disease-free survival** (HR 2.79) and **overall survival** (HR 4.81) compared with stages I–III, but **not** with worse central failure (HR 1.28).</w:t>
      </w:r>
    </w:p>
    <w:p>
      <w:pPr>
        <w:pStyle w:val="ListBullet"/>
      </w:pPr>
      <w:r>
        <w:rPr>
          <w:sz w:val="22"/>
        </w:rPr>
        <w:t>HR-CTV D90 did not differ significantly by stage, but **bladder and rectum D2cc doses were higher in stage IVA patients** due to organ invasion.</w:t>
      </w:r>
    </w:p>
    <w:p>
      <w:pPr>
        <w:pStyle w:val="ListBullet"/>
      </w:pPr>
      <w:r>
        <w:rPr>
          <w:sz w:val="22"/>
        </w:rPr>
        <w:t>MRI-guided BT achieved a **low incidence of central failure across all stages**, including stage IVA.</w:t>
      </w:r>
    </w:p>
    <w:p>
      <w:pPr>
        <w:pStyle w:val="ListBullet"/>
      </w:pPr>
      <w:r>
        <w:rPr>
          <w:sz w:val="22"/>
        </w:rPr>
        <w:t>Multivariable analysis identified low BMI (&lt;20 kg/m²) among prognostic factors associated with fistula formation (additional factors mentioned but truncated in the abstract).</w:t>
      </w:r>
    </w:p>
    <w:p>
      <w:pPr>
        <w:pStyle w:val="Heading2"/>
      </w:pPr>
      <w:r>
        <w:t>3. Clinical Significance</w:t>
      </w:r>
    </w:p>
    <w:p>
      <w:pPr>
        <w:pStyle w:val="ListBullet"/>
      </w:pPr>
      <w:r>
        <w:rPr>
          <w:sz w:val="22"/>
        </w:rPr>
        <w:t>These findings support **BT as the continued gold standard** for locally advanced cervical cancer, given its unmatched ability to escalate intratumoral d</w:t>
      </w:r>
    </w:p>
    <w:p>
      <w:pPr>
        <w:pStyle w:val="Heading1"/>
      </w:pPr>
      <w:r>
        <w:t>Supporting References</w:t>
      </w:r>
    </w:p>
    <w:tbl>
      <w:tblPr>
        <w:tblStyle w:val="TableGrid"/>
        <w:tblW w:type="auto" w:w="0"/>
        <w:tblLook w:firstColumn="1" w:firstRow="1" w:lastColumn="0" w:lastRow="0" w:noHBand="0" w:noVBand="1" w:val="04A0"/>
      </w:tblPr>
      <w:tblGrid>
        <w:gridCol w:w="4824"/>
        <w:gridCol w:w="4824"/>
      </w:tblGrid>
      <w:tr>
        <w:tc>
          <w:tcPr>
            <w:tcW w:type="dxa" w:w="4824"/>
            <w:vAlign w:val="center"/>
          </w:tcPr>
          <w:p>
            <w:r>
              <w:rPr>
                <w:b/>
                <w:sz w:val="20"/>
              </w:rPr>
              <w:t>Reference</w:t>
            </w:r>
          </w:p>
        </w:tc>
        <w:tc>
          <w:tcPr>
            <w:tcW w:type="dxa" w:w="4824"/>
            <w:vAlign w:val="center"/>
          </w:tcPr>
          <w:p>
            <w:r>
              <w:rPr>
                <w:sz w:val="20"/>
              </w:rPr>
              <w:t>[1]</w:t>
            </w:r>
          </w:p>
        </w:tc>
      </w:tr>
      <w:tr>
        <w:tc>
          <w:tcPr>
            <w:tcW w:type="dxa" w:w="4824"/>
            <w:vAlign w:val="center"/>
          </w:tcPr>
          <w:p>
            <w:r>
              <w:rPr>
                <w:b/>
                <w:sz w:val="20"/>
              </w:rPr>
              <w:t>Title</w:t>
            </w:r>
          </w:p>
        </w:tc>
        <w:tc>
          <w:tcPr>
            <w:tcW w:type="dxa" w:w="4824"/>
            <w:vAlign w:val="center"/>
          </w:tcPr>
          <w:p>
            <w:r>
              <w:rPr>
                <w:sz w:val="20"/>
              </w:rPr>
              <w:t>Can stereotactic body radiotherapy replace brachytherapy in gynecologic cancers? A systematic review of current evidence.</w:t>
            </w:r>
          </w:p>
        </w:tc>
      </w:tr>
      <w:tr>
        <w:tc>
          <w:tcPr>
            <w:tcW w:type="dxa" w:w="4824"/>
            <w:vAlign w:val="center"/>
          </w:tcPr>
          <w:p>
            <w:r>
              <w:rPr>
                <w:b/>
                <w:sz w:val="20"/>
              </w:rPr>
              <w:t>Authors</w:t>
            </w:r>
          </w:p>
        </w:tc>
        <w:tc>
          <w:tcPr>
            <w:tcW w:type="dxa" w:w="4824"/>
            <w:vAlign w:val="center"/>
          </w:tcPr>
          <w:p>
            <w:r>
              <w:rPr>
                <w:sz w:val="20"/>
              </w:rPr>
              <w:t>Ruiz PV, Vacas AI, Arenas ÁV</w:t>
            </w:r>
          </w:p>
        </w:tc>
      </w:tr>
      <w:tr>
        <w:tc>
          <w:tcPr>
            <w:tcW w:type="dxa" w:w="4824"/>
            <w:vAlign w:val="center"/>
          </w:tcPr>
          <w:p>
            <w:r>
              <w:rPr>
                <w:b/>
                <w:sz w:val="20"/>
              </w:rPr>
              <w:t>Source</w:t>
            </w:r>
          </w:p>
        </w:tc>
        <w:tc>
          <w:tcPr>
            <w:tcW w:type="dxa" w:w="4824"/>
            <w:vAlign w:val="center"/>
          </w:tcPr>
          <w:p>
            <w:r>
              <w:rPr>
                <w:sz w:val="20"/>
              </w:rPr>
              <w:t>Clinical and translational radiation oncology (2026)</w:t>
            </w:r>
          </w:p>
        </w:tc>
      </w:tr>
    </w:tbl>
    <w:p/>
    <w:tbl>
      <w:tblPr>
        <w:tblStyle w:val="TableGrid"/>
        <w:tblW w:type="auto" w:w="0"/>
        <w:tblLook w:firstColumn="1" w:firstRow="1" w:lastColumn="0" w:lastRow="0" w:noHBand="0" w:noVBand="1" w:val="04A0"/>
      </w:tblPr>
      <w:tblGrid>
        <w:gridCol w:w="4824"/>
        <w:gridCol w:w="4824"/>
      </w:tblGrid>
      <w:tr>
        <w:tc>
          <w:tcPr>
            <w:tcW w:type="dxa" w:w="4824"/>
            <w:vAlign w:val="center"/>
          </w:tcPr>
          <w:p>
            <w:r>
              <w:rPr>
                <w:b/>
                <w:sz w:val="20"/>
              </w:rPr>
              <w:t>Reference</w:t>
            </w:r>
          </w:p>
        </w:tc>
        <w:tc>
          <w:tcPr>
            <w:tcW w:type="dxa" w:w="4824"/>
            <w:vAlign w:val="center"/>
          </w:tcPr>
          <w:p>
            <w:r>
              <w:rPr>
                <w:sz w:val="20"/>
              </w:rPr>
              <w:t>[2]</w:t>
            </w:r>
          </w:p>
        </w:tc>
      </w:tr>
      <w:tr>
        <w:tc>
          <w:tcPr>
            <w:tcW w:type="dxa" w:w="4824"/>
            <w:vAlign w:val="center"/>
          </w:tcPr>
          <w:p>
            <w:r>
              <w:rPr>
                <w:b/>
                <w:sz w:val="20"/>
              </w:rPr>
              <w:t>Title</w:t>
            </w:r>
          </w:p>
        </w:tc>
        <w:tc>
          <w:tcPr>
            <w:tcW w:type="dxa" w:w="4824"/>
            <w:vAlign w:val="center"/>
          </w:tcPr>
          <w:p>
            <w:r>
              <w:rPr>
                <w:sz w:val="20"/>
              </w:rPr>
              <w:t>Can image-guided external beam radiotherapy boost be an alternative when intracavitary brachytherapy is unavailable for locally advanced cervical cancer? A dosimetric analysis and literature review.</w:t>
            </w:r>
          </w:p>
        </w:tc>
      </w:tr>
      <w:tr>
        <w:tc>
          <w:tcPr>
            <w:tcW w:type="dxa" w:w="4824"/>
            <w:vAlign w:val="center"/>
          </w:tcPr>
          <w:p>
            <w:r>
              <w:rPr>
                <w:b/>
                <w:sz w:val="20"/>
              </w:rPr>
              <w:t>Authors</w:t>
            </w:r>
          </w:p>
        </w:tc>
        <w:tc>
          <w:tcPr>
            <w:tcW w:type="dxa" w:w="4824"/>
            <w:vAlign w:val="center"/>
          </w:tcPr>
          <w:p>
            <w:r>
              <w:rPr>
                <w:sz w:val="20"/>
              </w:rPr>
              <w:t>Liu C, Wang X, Zhang N, Li J, Li X, Wang L, Zhang H, Chen X, Wu X, Zhao P</w:t>
            </w:r>
          </w:p>
        </w:tc>
      </w:tr>
      <w:tr>
        <w:tc>
          <w:tcPr>
            <w:tcW w:type="dxa" w:w="4824"/>
            <w:vAlign w:val="center"/>
          </w:tcPr>
          <w:p>
            <w:r>
              <w:rPr>
                <w:b/>
                <w:sz w:val="20"/>
              </w:rPr>
              <w:t>Source</w:t>
            </w:r>
          </w:p>
        </w:tc>
        <w:tc>
          <w:tcPr>
            <w:tcW w:type="dxa" w:w="4824"/>
            <w:vAlign w:val="center"/>
          </w:tcPr>
          <w:p>
            <w:r>
              <w:rPr>
                <w:sz w:val="20"/>
              </w:rPr>
              <w:t>Journal of contemporary brachytherapy (2026)</w:t>
            </w:r>
          </w:p>
        </w:tc>
      </w:tr>
    </w:tbl>
    <w:p/>
    <w:tbl>
      <w:tblPr>
        <w:tblStyle w:val="TableGrid"/>
        <w:tblW w:type="auto" w:w="0"/>
        <w:tblLook w:firstColumn="1" w:firstRow="1" w:lastColumn="0" w:lastRow="0" w:noHBand="0" w:noVBand="1" w:val="04A0"/>
      </w:tblPr>
      <w:tblGrid>
        <w:gridCol w:w="4824"/>
        <w:gridCol w:w="4824"/>
      </w:tblGrid>
      <w:tr>
        <w:tc>
          <w:tcPr>
            <w:tcW w:type="dxa" w:w="4824"/>
            <w:vAlign w:val="center"/>
          </w:tcPr>
          <w:p>
            <w:r>
              <w:rPr>
                <w:b/>
                <w:sz w:val="20"/>
              </w:rPr>
              <w:t>Reference</w:t>
            </w:r>
          </w:p>
        </w:tc>
        <w:tc>
          <w:tcPr>
            <w:tcW w:type="dxa" w:w="4824"/>
            <w:vAlign w:val="center"/>
          </w:tcPr>
          <w:p>
            <w:r>
              <w:rPr>
                <w:sz w:val="20"/>
              </w:rPr>
              <w:t>[3]</w:t>
            </w:r>
          </w:p>
        </w:tc>
      </w:tr>
      <w:tr>
        <w:tc>
          <w:tcPr>
            <w:tcW w:type="dxa" w:w="4824"/>
            <w:vAlign w:val="center"/>
          </w:tcPr>
          <w:p>
            <w:r>
              <w:rPr>
                <w:b/>
                <w:sz w:val="20"/>
              </w:rPr>
              <w:t>Title</w:t>
            </w:r>
          </w:p>
        </w:tc>
        <w:tc>
          <w:tcPr>
            <w:tcW w:type="dxa" w:w="4824"/>
            <w:vAlign w:val="center"/>
          </w:tcPr>
          <w:p>
            <w:r>
              <w:rPr>
                <w:sz w:val="20"/>
              </w:rPr>
              <w:t>Image-guided brachytherapy for locally advanced cervical cancer: clinical outcomes and fistula risk in stage IVA disease.</w:t>
            </w:r>
          </w:p>
        </w:tc>
      </w:tr>
      <w:tr>
        <w:tc>
          <w:tcPr>
            <w:tcW w:type="dxa" w:w="4824"/>
            <w:vAlign w:val="center"/>
          </w:tcPr>
          <w:p>
            <w:r>
              <w:rPr>
                <w:b/>
                <w:sz w:val="20"/>
              </w:rPr>
              <w:t>Authors</w:t>
            </w:r>
          </w:p>
        </w:tc>
        <w:tc>
          <w:tcPr>
            <w:tcW w:type="dxa" w:w="4824"/>
            <w:vAlign w:val="center"/>
          </w:tcPr>
          <w:p>
            <w:r>
              <w:rPr>
                <w:sz w:val="20"/>
              </w:rPr>
              <w:t>Landman Y, De Sousa Smith C, Ke S, Roumeliotis M, Rezaee M, Lee J, Schmidt EJ, Hu C, Viswanathan AN</w:t>
            </w:r>
          </w:p>
        </w:tc>
      </w:tr>
      <w:tr>
        <w:tc>
          <w:tcPr>
            <w:tcW w:type="dxa" w:w="4824"/>
            <w:vAlign w:val="center"/>
          </w:tcPr>
          <w:p>
            <w:r>
              <w:rPr>
                <w:b/>
                <w:sz w:val="20"/>
              </w:rPr>
              <w:t>Source</w:t>
            </w:r>
          </w:p>
        </w:tc>
        <w:tc>
          <w:tcPr>
            <w:tcW w:type="dxa" w:w="4824"/>
            <w:vAlign w:val="center"/>
          </w:tcPr>
          <w:p>
            <w:r>
              <w:rPr>
                <w:sz w:val="20"/>
              </w:rPr>
              <w:t>International journal of gynecological cancer : official journal of the International Gynecological Cancer Society (2026)</w:t>
            </w:r>
          </w:p>
        </w:tc>
      </w:tr>
    </w:tbl>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Generated by Radiotherapy Research Assistant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