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NovaTech Enterprises</w:t>
      </w:r>
    </w:p>
    <w:p>
      <w:pPr>
        <w:jc w:val="center"/>
      </w:pPr>
      <w:r>
        <w:rPr>
          <w:color w:val="555555"/>
        </w:rPr>
        <w:t>IT-PROC-003 | IT Incident Response Procedure</w:t>
      </w:r>
    </w:p>
    <w:p/>
    <w:p>
      <w:pPr>
        <w:pStyle w:val="Heading1"/>
      </w:pPr>
      <w:r>
        <w:rPr>
          <w:color w:val="1A3C5E"/>
        </w:rPr>
        <w:t>1. Purpose</w:t>
      </w:r>
    </w:p>
    <w:p>
      <w:r>
        <w:rPr>
          <w:sz w:val="20"/>
        </w:rPr>
        <w:t>This procedure establishes a consistent, structured approach to managing IT security incidents, minimising their impact, and restoring normal service as quickly as possible.</w:t>
      </w:r>
    </w:p>
    <w:p>
      <w:pPr>
        <w:pStyle w:val="Heading1"/>
      </w:pPr>
      <w:r>
        <w:rPr>
          <w:color w:val="1A3C5E"/>
        </w:rPr>
        <w:t>2. Incident Severity Levels</w:t>
      </w:r>
    </w:p>
    <w:p>
      <w:r>
        <w:rPr>
          <w:sz w:val="20"/>
        </w:rPr>
        <w:t>All incidents are classified on a four-tier severity scale: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Response SLA</w:t>
            </w:r>
          </w:p>
        </w:tc>
      </w:tr>
      <w:tr>
        <w:tc>
          <w:tcPr>
            <w:tcW w:type="dxa" w:w="2880"/>
          </w:tcPr>
          <w:p>
            <w:r>
              <w:t>P1 - Critical</w:t>
            </w:r>
          </w:p>
        </w:tc>
        <w:tc>
          <w:tcPr>
            <w:tcW w:type="dxa" w:w="2880"/>
          </w:tcPr>
          <w:p>
            <w:r>
              <w:t>Data breach, ransomware, system-wide outage</w:t>
            </w:r>
          </w:p>
        </w:tc>
        <w:tc>
          <w:tcPr>
            <w:tcW w:type="dxa" w:w="2880"/>
          </w:tcPr>
          <w:p>
            <w:r>
              <w:t>30 minutes</w:t>
            </w:r>
          </w:p>
        </w:tc>
      </w:tr>
      <w:tr>
        <w:tc>
          <w:tcPr>
            <w:tcW w:type="dxa" w:w="2880"/>
          </w:tcPr>
          <w:p>
            <w:r>
              <w:t>P2 - High</w:t>
            </w:r>
          </w:p>
        </w:tc>
        <w:tc>
          <w:tcPr>
            <w:tcW w:type="dxa" w:w="2880"/>
          </w:tcPr>
          <w:p>
            <w:r>
              <w:t>Significant service degradation, suspected intrusion</w:t>
            </w:r>
          </w:p>
        </w:tc>
        <w:tc>
          <w:tcPr>
            <w:tcW w:type="dxa" w:w="2880"/>
          </w:tcPr>
          <w:p>
            <w:r>
              <w:t>2 hours</w:t>
            </w:r>
          </w:p>
        </w:tc>
      </w:tr>
      <w:tr>
        <w:tc>
          <w:tcPr>
            <w:tcW w:type="dxa" w:w="2880"/>
          </w:tcPr>
          <w:p>
            <w:r>
              <w:t>P3 - Medium</w:t>
            </w:r>
          </w:p>
        </w:tc>
        <w:tc>
          <w:tcPr>
            <w:tcW w:type="dxa" w:w="2880"/>
          </w:tcPr>
          <w:p>
            <w:r>
              <w:t>Single system failure, malware on one endpoint</w:t>
            </w:r>
          </w:p>
        </w:tc>
        <w:tc>
          <w:tcPr>
            <w:tcW w:type="dxa" w:w="2880"/>
          </w:tcPr>
          <w:p>
            <w:r>
              <w:t>4 hours</w:t>
            </w:r>
          </w:p>
        </w:tc>
      </w:tr>
      <w:tr>
        <w:tc>
          <w:tcPr>
            <w:tcW w:type="dxa" w:w="2880"/>
          </w:tcPr>
          <w:p>
            <w:r>
              <w:t>P4 - Low</w:t>
            </w:r>
          </w:p>
        </w:tc>
        <w:tc>
          <w:tcPr>
            <w:tcW w:type="dxa" w:w="2880"/>
          </w:tcPr>
          <w:p>
            <w:r>
              <w:t>Minor issues, failed logins, policy violations</w:t>
            </w:r>
          </w:p>
        </w:tc>
        <w:tc>
          <w:tcPr>
            <w:tcW w:type="dxa" w:w="2880"/>
          </w:tcPr>
          <w:p>
            <w:r>
              <w:t>Next business day</w:t>
            </w:r>
          </w:p>
        </w:tc>
      </w:tr>
    </w:tbl>
    <w:p/>
    <w:p>
      <w:pPr>
        <w:pStyle w:val="Heading1"/>
      </w:pPr>
      <w:r>
        <w:rPr>
          <w:color w:val="1A3C5E"/>
        </w:rPr>
        <w:t>3. Incident Response Phases</w:t>
      </w:r>
    </w:p>
    <w:p>
      <w:pPr>
        <w:pStyle w:val="ListNumber"/>
      </w:pPr>
      <w:r>
        <w:rPr>
          <w:sz w:val="20"/>
        </w:rPr>
        <w:t>Phase 1 — Detection &amp; Triage: Incident reported to IT helpdesk or detected by monitoring. On-call analyst performs initial triage and assigns severity.</w:t>
      </w:r>
    </w:p>
    <w:p>
      <w:pPr>
        <w:pStyle w:val="ListNumber"/>
      </w:pPr>
      <w:r>
        <w:rPr>
          <w:sz w:val="20"/>
        </w:rPr>
        <w:t>Phase 2 — Containment: Immediate steps to limit the spread. May include isolating affected systems, blocking network traffic, or disabling accounts.</w:t>
      </w:r>
    </w:p>
    <w:p>
      <w:pPr>
        <w:pStyle w:val="ListNumber"/>
      </w:pPr>
      <w:r>
        <w:rPr>
          <w:sz w:val="20"/>
        </w:rPr>
        <w:t>Phase 3 — Eradication: Identify and remove the root cause. Patch vulnerabilities, remove malware, reset compromised credentials.</w:t>
      </w:r>
    </w:p>
    <w:p>
      <w:pPr>
        <w:pStyle w:val="ListNumber"/>
      </w:pPr>
      <w:r>
        <w:rPr>
          <w:sz w:val="20"/>
        </w:rPr>
        <w:t>Phase 4 — Recovery: Restore systems from clean backups. Verify integrity before returning to production. Monitor closely for 72 hours.</w:t>
      </w:r>
    </w:p>
    <w:p>
      <w:pPr>
        <w:pStyle w:val="ListNumber"/>
      </w:pPr>
      <w:r>
        <w:rPr>
          <w:sz w:val="20"/>
        </w:rPr>
        <w:t>Phase 5 — Post-Incident Review: Mandatory for P1 and P2 incidents. Root cause analysis completed within 5 business days. Lessons learned shared with IT leadership.</w:t>
      </w:r>
    </w:p>
    <w:p>
      <w:pPr>
        <w:pStyle w:val="Heading1"/>
      </w:pPr>
      <w:r>
        <w:rPr>
          <w:color w:val="1A3C5E"/>
        </w:rPr>
        <w:t>4. Communication</w:t>
      </w:r>
    </w:p>
    <w:p>
      <w:r>
        <w:rPr>
          <w:sz w:val="20"/>
        </w:rPr>
        <w:t>P1 incidents require immediate notification to the CISO and CTO. If personal data is involved, the Data Protection Officer must be notified within 1 hour to assess GDPR reporting obligations. External communications must be approved by Legal before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Incident Response Procedure</dc:title>
  <dc:subject/>
  <dc:creator>NovaTech IT Security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