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0"/>
          <w:szCs w:val="40"/>
        </w:rPr>
        <w:t xml:space="preserve">Student GrantMatch</w:t>
      </w:r>
    </w:p>
    <w:p>
      <w:pPr>
        <w:spacing w:after="40"/>
      </w:pPr>
      <w:r>
        <w:rPr>
          <w:color w:val="555555"/>
          <w:sz w:val="22"/>
          <w:szCs w:val="22"/>
        </w:rPr>
        <w:t xml:space="preserve">Capstone Project Documentation, G4, GardenStateAI</w:t>
      </w:r>
    </w:p>
    <w:p>
      <w:pPr>
        <w:spacing w:after="40"/>
      </w:pPr>
      <w:r>
        <w:rPr>
          <w:sz w:val="20"/>
          <w:szCs w:val="20"/>
        </w:rPr>
        <w:t xml:space="preserve">Atishay Jain, Dinesh Chandramohan  |  atishay23@gmail.com, dineshcm01@gmail.com</w:t>
      </w:r>
    </w:p>
    <w:p>
      <w:pPr>
        <w:spacing w:after="200"/>
      </w:pPr>
      <w:r>
        <w:rPr>
          <w:b/>
          <w:bCs/>
          <w:sz w:val="20"/>
          <w:szCs w:val="20"/>
        </w:rPr>
        <w:t xml:space="preserve">Repo: </w:t>
      </w:r>
      <w:r>
        <w:rPr>
          <w:sz w:val="20"/>
          <w:szCs w:val="20"/>
        </w:rPr>
        <w:t xml:space="preserve">https://github.com/atishaydottech/Capstone-Project</w:t>
      </w:r>
      <w:r>
        <w:rPr>
          <w:b/>
          <w:bCs/>
          <w:sz w:val="20"/>
          <w:szCs w:val="20"/>
        </w:rPr>
        <w:t xml:space="preserve">   |   Approach: </w:t>
      </w:r>
      <w:r>
        <w:rPr>
          <w:sz w:val="20"/>
          <w:szCs w:val="20"/>
        </w:rPr>
        <w:t xml:space="preserve">Agentic RAG with Pydantic AI</w:t>
      </w:r>
    </w:p>
    <w:p>
      <w:pPr>
        <w:pBdr>
          <w:bottom w:val="single" w:color="999999" w:sz="6" w:space="4"/>
        </w:pBdr>
        <w:spacing w:after="200"/>
      </w:pPr>
    </w:p>
    <w:p>
      <w:pPr>
        <w:pStyle w:val="Heading1"/>
        <w:spacing w:after="120" w:before="260"/>
      </w:pPr>
      <w:r>
        <w:t xml:space="preserve">1. Problem Statement and Goals</w:t>
      </w:r>
    </w:p>
    <w:p>
      <w:pPr>
        <w:spacing w:after="120"/>
      </w:pPr>
      <w:r>
        <w:rPr>
          <w:b w:val="false"/>
          <w:bCs w:val="false"/>
          <w:i w:val="false"/>
          <w:iCs w:val="false"/>
        </w:rPr>
        <w:t xml:space="preserve">Students often don't know which scholarships or grants they actually qualify for. Rules are scattered across long documents, and keyword search misses matches or gives wrong ones. GrantMatch takes a student's basic info and tells them which of 10 real aid programs they qualify for, citing the exact rule that says so.</w:t>
      </w:r>
    </w:p>
    <w:p>
      <w:pPr>
        <w:pStyle w:val="Heading2"/>
        <w:spacing w:after="80" w:before="180"/>
      </w:pPr>
      <w:r>
        <w:t xml:space="preserve">Goals</w:t>
      </w:r>
    </w:p>
    <w:p>
      <w:pPr>
        <w:pStyle w:val="ListParagraph"/>
        <w:numPr>
          <w:ilvl w:val="0"/>
          <w:numId w:val="2"/>
        </w:numPr>
        <w:spacing w:after="60"/>
      </w:pPr>
      <w:r>
        <w:t xml:space="preserve">Check a student's info, like income, state, GPA, and major, against real program rules.</w:t>
      </w:r>
    </w:p>
    <w:p>
      <w:pPr>
        <w:pStyle w:val="ListParagraph"/>
        <w:numPr>
          <w:ilvl w:val="0"/>
          <w:numId w:val="2"/>
        </w:numPr>
        <w:spacing w:after="60"/>
      </w:pPr>
      <w:r>
        <w:t xml:space="preserve">Show the exact rule behind each yes or no, not just an answer.</w:t>
      </w:r>
    </w:p>
    <w:p>
      <w:pPr>
        <w:pStyle w:val="ListParagraph"/>
        <w:numPr>
          <w:ilvl w:val="0"/>
          <w:numId w:val="2"/>
        </w:numPr>
        <w:spacing w:after="60"/>
      </w:pPr>
      <w:r>
        <w:t xml:space="preserve">Flag partial matches instead of forcing a plain yes or no.</w:t>
      </w:r>
    </w:p>
    <w:p>
      <w:pPr>
        <w:pStyle w:val="ListParagraph"/>
        <w:numPr>
          <w:ilvl w:val="0"/>
          <w:numId w:val="2"/>
        </w:numPr>
        <w:spacing w:after="60"/>
      </w:pPr>
      <w:r>
        <w:t xml:space="preserve">Search documents only when needed, not on every query.</w:t>
      </w:r>
    </w:p>
    <w:p>
      <w:pPr>
        <w:pStyle w:val="ListParagraph"/>
        <w:numPr>
          <w:ilvl w:val="0"/>
          <w:numId w:val="2"/>
        </w:numPr>
        <w:spacing w:after="60"/>
      </w:pPr>
      <w:r>
        <w:t xml:space="preserve">Test against labeled profiles and measure real accuracy.</w:t>
      </w:r>
    </w:p>
    <w:p>
      <w:pPr>
        <w:pStyle w:val="ListParagraph"/>
        <w:numPr>
          <w:ilvl w:val="0"/>
          <w:numId w:val="2"/>
        </w:numPr>
        <w:spacing w:after="60"/>
      </w:pPr>
      <w:r>
        <w:t xml:space="preserve">Report eligibility only, not odds of winning.</w:t>
      </w:r>
    </w:p>
    <w:p>
      <w:pPr>
        <w:pStyle w:val="Heading1"/>
        <w:spacing w:after="120" w:before="260"/>
      </w:pPr>
      <w:r>
        <w:t xml:space="preserve">2. System Overview: What It Reads and How It Answers</w:t>
      </w:r>
    </w:p>
    <w:p>
      <w:pPr>
        <w:pStyle w:val="Heading2"/>
        <w:spacing w:after="80" w:before="180"/>
      </w:pPr>
      <w:r>
        <w:t xml:space="preserve">What it reads</w:t>
      </w:r>
    </w:p>
    <w:p>
      <w:pPr>
        <w:spacing w:after="120"/>
      </w:pPr>
      <w:r>
        <w:rPr>
          <w:b w:val="false"/>
          <w:bCs w:val="false"/>
          <w:i w:val="false"/>
          <w:iCs w:val="false"/>
        </w:rPr>
        <w:t xml:space="preserve">The knowledge base is 10 one-page rule sheets, in PDF, for real scholarship and grant programs. They cover five different rule shapes on purpose: flat income cutoffs, income formulas (SAI), GPA-only rules, GPA plus test score plus service hours, and categorical checks like residency, first-gen status, and degree status. That mix is there so retrieval and citation get tested against more than one pattern: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600"/>
      </w:tblGrid>
      <w:tr>
        <w:tc>
          <w:tcPr>
            <w:tcW w:type="dxa" w:w="1900"/>
            <w:shd w:fill="F2F2F2" w:val="clear"/>
            <w:tcMar>
              <w:top w:type="dxa" w:w="60"/>
              <w:left w:type="dxa" w:w="100"/>
              <w:bottom w:type="dxa" w:w="60"/>
              <w:right w:type="dxa" w:w="100"/>
            </w:tcMar>
          </w:tcPr>
          <w:p>
            <w:r>
              <w:rPr>
                <w:b/>
                <w:bCs/>
                <w:sz w:val="18"/>
                <w:szCs w:val="18"/>
              </w:rPr>
              <w:t xml:space="preserve">File</w:t>
            </w:r>
          </w:p>
        </w:tc>
        <w:tc>
          <w:tcPr>
            <w:tcW w:type="dxa" w:w="3600"/>
            <w:shd w:fill="F2F2F2" w:val="clear"/>
            <w:tcMar>
              <w:top w:type="dxa" w:w="60"/>
              <w:left w:type="dxa" w:w="100"/>
              <w:bottom w:type="dxa" w:w="60"/>
              <w:right w:type="dxa" w:w="100"/>
            </w:tcMar>
          </w:tcPr>
          <w:p>
            <w:r>
              <w:rPr>
                <w:b/>
                <w:bCs/>
                <w:sz w:val="18"/>
                <w:szCs w:val="18"/>
              </w:rPr>
              <w:t xml:space="preserve">Program</w:t>
            </w:r>
          </w:p>
        </w:tc>
        <w:tc>
          <w:tcPr>
            <w:tcW w:type="dxa" w:w="3600"/>
            <w:shd w:fill="F2F2F2" w:val="clear"/>
            <w:tcMar>
              <w:top w:type="dxa" w:w="60"/>
              <w:left w:type="dxa" w:w="100"/>
              <w:bottom w:type="dxa" w:w="60"/>
              <w:right w:type="dxa" w:w="100"/>
            </w:tcMar>
          </w:tcPr>
          <w:p>
            <w:r>
              <w:rPr>
                <w:b/>
                <w:bCs/>
                <w:sz w:val="18"/>
                <w:szCs w:val="18"/>
              </w:rPr>
              <w:t xml:space="preserve">Rule type</w:t>
            </w:r>
          </w:p>
        </w:tc>
      </w:tr>
      <w:tr>
        <w:tc>
          <w:tcPr>
            <w:tcW w:type="dxa" w:w="1900"/>
            <w:tcMar>
              <w:top w:type="dxa" w:w="60"/>
              <w:left w:type="dxa" w:w="100"/>
              <w:bottom w:type="dxa" w:w="60"/>
              <w:right w:type="dxa" w:w="100"/>
            </w:tcMar>
          </w:tcPr>
          <w:p>
            <w:r>
              <w:rPr>
                <w:b w:val="false"/>
                <w:bCs w:val="false"/>
                <w:sz w:val="18"/>
                <w:szCs w:val="18"/>
              </w:rPr>
              <w:t xml:space="preserve">nj_tag.pdf</w:t>
            </w:r>
          </w:p>
        </w:tc>
        <w:tc>
          <w:tcPr>
            <w:tcW w:type="dxa" w:w="3600"/>
            <w:tcMar>
              <w:top w:type="dxa" w:w="60"/>
              <w:left w:type="dxa" w:w="100"/>
              <w:bottom w:type="dxa" w:w="60"/>
              <w:right w:type="dxa" w:w="100"/>
            </w:tcMar>
          </w:tcPr>
          <w:p>
            <w:r>
              <w:rPr>
                <w:b w:val="false"/>
                <w:bCs w:val="false"/>
                <w:sz w:val="18"/>
                <w:szCs w:val="18"/>
              </w:rPr>
              <w:t xml:space="preserve">NJ Tuition Aid Grant</w:t>
            </w:r>
          </w:p>
        </w:tc>
        <w:tc>
          <w:tcPr>
            <w:tcW w:type="dxa" w:w="3600"/>
            <w:tcMar>
              <w:top w:type="dxa" w:w="60"/>
              <w:left w:type="dxa" w:w="100"/>
              <w:bottom w:type="dxa" w:w="60"/>
              <w:right w:type="dxa" w:w="100"/>
            </w:tcMar>
          </w:tcPr>
          <w:p>
            <w:r>
              <w:rPr>
                <w:b w:val="false"/>
                <w:bCs w:val="false"/>
                <w:sz w:val="18"/>
                <w:szCs w:val="18"/>
              </w:rPr>
              <w:t xml:space="preserve">income, residency, degree status</w:t>
            </w:r>
          </w:p>
        </w:tc>
      </w:tr>
      <w:tr>
        <w:tc>
          <w:tcPr>
            <w:tcW w:type="dxa" w:w="1900"/>
            <w:tcMar>
              <w:top w:type="dxa" w:w="60"/>
              <w:left w:type="dxa" w:w="100"/>
              <w:bottom w:type="dxa" w:w="60"/>
              <w:right w:type="dxa" w:w="100"/>
            </w:tcMar>
          </w:tcPr>
          <w:p>
            <w:r>
              <w:rPr>
                <w:b w:val="false"/>
                <w:bCs w:val="false"/>
                <w:sz w:val="18"/>
                <w:szCs w:val="18"/>
              </w:rPr>
              <w:t xml:space="preserve">nj_stars.pdf</w:t>
            </w:r>
          </w:p>
        </w:tc>
        <w:tc>
          <w:tcPr>
            <w:tcW w:type="dxa" w:w="3600"/>
            <w:tcMar>
              <w:top w:type="dxa" w:w="60"/>
              <w:left w:type="dxa" w:w="100"/>
              <w:bottom w:type="dxa" w:w="60"/>
              <w:right w:type="dxa" w:w="100"/>
            </w:tcMar>
          </w:tcPr>
          <w:p>
            <w:r>
              <w:rPr>
                <w:b w:val="false"/>
                <w:bCs w:val="false"/>
                <w:sz w:val="18"/>
                <w:szCs w:val="18"/>
              </w:rPr>
              <w:t xml:space="preserve">NJ STARS / STARS II</w:t>
            </w:r>
          </w:p>
        </w:tc>
        <w:tc>
          <w:tcPr>
            <w:tcW w:type="dxa" w:w="3600"/>
            <w:tcMar>
              <w:top w:type="dxa" w:w="60"/>
              <w:left w:type="dxa" w:w="100"/>
              <w:bottom w:type="dxa" w:w="60"/>
              <w:right w:type="dxa" w:w="100"/>
            </w:tcMar>
          </w:tcPr>
          <w:p>
            <w:r>
              <w:rPr>
                <w:b w:val="false"/>
                <w:bCs w:val="false"/>
                <w:sz w:val="18"/>
                <w:szCs w:val="18"/>
              </w:rPr>
              <w:t xml:space="preserve">GPA, class rank, income</w:t>
            </w:r>
          </w:p>
        </w:tc>
      </w:tr>
      <w:tr>
        <w:tc>
          <w:tcPr>
            <w:tcW w:type="dxa" w:w="1900"/>
            <w:tcMar>
              <w:top w:type="dxa" w:w="60"/>
              <w:left w:type="dxa" w:w="100"/>
              <w:bottom w:type="dxa" w:w="60"/>
              <w:right w:type="dxa" w:w="100"/>
            </w:tcMar>
          </w:tcPr>
          <w:p>
            <w:r>
              <w:rPr>
                <w:b w:val="false"/>
                <w:bCs w:val="false"/>
                <w:sz w:val="18"/>
                <w:szCs w:val="18"/>
              </w:rPr>
              <w:t xml:space="preserve">federal_pell_grant.pdf</w:t>
            </w:r>
          </w:p>
        </w:tc>
        <w:tc>
          <w:tcPr>
            <w:tcW w:type="dxa" w:w="3600"/>
            <w:tcMar>
              <w:top w:type="dxa" w:w="60"/>
              <w:left w:type="dxa" w:w="100"/>
              <w:bottom w:type="dxa" w:w="60"/>
              <w:right w:type="dxa" w:w="100"/>
            </w:tcMar>
          </w:tcPr>
          <w:p>
            <w:r>
              <w:rPr>
                <w:b w:val="false"/>
                <w:bCs w:val="false"/>
                <w:sz w:val="18"/>
                <w:szCs w:val="18"/>
              </w:rPr>
              <w:t xml:space="preserve">Federal Pell Grant</w:t>
            </w:r>
          </w:p>
        </w:tc>
        <w:tc>
          <w:tcPr>
            <w:tcW w:type="dxa" w:w="3600"/>
            <w:tcMar>
              <w:top w:type="dxa" w:w="60"/>
              <w:left w:type="dxa" w:w="100"/>
              <w:bottom w:type="dxa" w:w="60"/>
              <w:right w:type="dxa" w:w="100"/>
            </w:tcMar>
          </w:tcPr>
          <w:p>
            <w:r>
              <w:rPr>
                <w:b w:val="false"/>
                <w:bCs w:val="false"/>
                <w:sz w:val="18"/>
                <w:szCs w:val="18"/>
              </w:rPr>
              <w:t xml:space="preserve">SAI formula (not flat income)</w:t>
            </w:r>
          </w:p>
        </w:tc>
      </w:tr>
      <w:tr>
        <w:tc>
          <w:tcPr>
            <w:tcW w:type="dxa" w:w="1900"/>
            <w:tcMar>
              <w:top w:type="dxa" w:w="60"/>
              <w:left w:type="dxa" w:w="100"/>
              <w:bottom w:type="dxa" w:w="60"/>
              <w:right w:type="dxa" w:w="100"/>
            </w:tcMar>
          </w:tcPr>
          <w:p>
            <w:r>
              <w:rPr>
                <w:b w:val="false"/>
                <w:bCs w:val="false"/>
                <w:sz w:val="18"/>
                <w:szCs w:val="18"/>
              </w:rPr>
              <w:t xml:space="preserve">georgia_hope_scholarship.pdf</w:t>
            </w:r>
          </w:p>
        </w:tc>
        <w:tc>
          <w:tcPr>
            <w:tcW w:type="dxa" w:w="3600"/>
            <w:tcMar>
              <w:top w:type="dxa" w:w="60"/>
              <w:left w:type="dxa" w:w="100"/>
              <w:bottom w:type="dxa" w:w="60"/>
              <w:right w:type="dxa" w:w="100"/>
            </w:tcMar>
          </w:tcPr>
          <w:p>
            <w:r>
              <w:rPr>
                <w:b w:val="false"/>
                <w:bCs w:val="false"/>
                <w:sz w:val="18"/>
                <w:szCs w:val="18"/>
              </w:rPr>
              <w:t xml:space="preserve">Georgia HOPE Scholarship</w:t>
            </w:r>
          </w:p>
        </w:tc>
        <w:tc>
          <w:tcPr>
            <w:tcW w:type="dxa" w:w="3600"/>
            <w:tcMar>
              <w:top w:type="dxa" w:w="60"/>
              <w:left w:type="dxa" w:w="100"/>
              <w:bottom w:type="dxa" w:w="60"/>
              <w:right w:type="dxa" w:w="100"/>
            </w:tcMar>
          </w:tcPr>
          <w:p>
            <w:r>
              <w:rPr>
                <w:b w:val="false"/>
                <w:bCs w:val="false"/>
                <w:sz w:val="18"/>
                <w:szCs w:val="18"/>
              </w:rPr>
              <w:t xml:space="preserve">GPA, residency</w:t>
            </w:r>
          </w:p>
        </w:tc>
      </w:tr>
      <w:tr>
        <w:tc>
          <w:tcPr>
            <w:tcW w:type="dxa" w:w="1900"/>
            <w:tcMar>
              <w:top w:type="dxa" w:w="60"/>
              <w:left w:type="dxa" w:w="100"/>
              <w:bottom w:type="dxa" w:w="60"/>
              <w:right w:type="dxa" w:w="100"/>
            </w:tcMar>
          </w:tcPr>
          <w:p>
            <w:r>
              <w:rPr>
                <w:b w:val="false"/>
                <w:bCs w:val="false"/>
                <w:sz w:val="18"/>
                <w:szCs w:val="18"/>
              </w:rPr>
              <w:t xml:space="preserve">california_cal_grant.pdf</w:t>
            </w:r>
          </w:p>
        </w:tc>
        <w:tc>
          <w:tcPr>
            <w:tcW w:type="dxa" w:w="3600"/>
            <w:tcMar>
              <w:top w:type="dxa" w:w="60"/>
              <w:left w:type="dxa" w:w="100"/>
              <w:bottom w:type="dxa" w:w="60"/>
              <w:right w:type="dxa" w:w="100"/>
            </w:tcMar>
          </w:tcPr>
          <w:p>
            <w:r>
              <w:rPr>
                <w:b w:val="false"/>
                <w:bCs w:val="false"/>
                <w:sz w:val="18"/>
                <w:szCs w:val="18"/>
              </w:rPr>
              <w:t xml:space="preserve">California Cal Grant A/B</w:t>
            </w:r>
          </w:p>
        </w:tc>
        <w:tc>
          <w:tcPr>
            <w:tcW w:type="dxa" w:w="3600"/>
            <w:tcMar>
              <w:top w:type="dxa" w:w="60"/>
              <w:left w:type="dxa" w:w="100"/>
              <w:bottom w:type="dxa" w:w="60"/>
              <w:right w:type="dxa" w:w="100"/>
            </w:tcMar>
          </w:tcPr>
          <w:p>
            <w:r>
              <w:rPr>
                <w:b w:val="false"/>
                <w:bCs w:val="false"/>
                <w:sz w:val="18"/>
                <w:szCs w:val="18"/>
              </w:rPr>
              <w:t xml:space="preserve">GPA, income/asset ceiling</w:t>
            </w:r>
          </w:p>
        </w:tc>
      </w:tr>
      <w:tr>
        <w:tc>
          <w:tcPr>
            <w:tcW w:type="dxa" w:w="1900"/>
            <w:tcMar>
              <w:top w:type="dxa" w:w="60"/>
              <w:left w:type="dxa" w:w="100"/>
              <w:bottom w:type="dxa" w:w="60"/>
              <w:right w:type="dxa" w:w="100"/>
            </w:tcMar>
          </w:tcPr>
          <w:p>
            <w:r>
              <w:rPr>
                <w:b w:val="false"/>
                <w:bCs w:val="false"/>
                <w:sz w:val="18"/>
                <w:szCs w:val="18"/>
              </w:rPr>
              <w:t xml:space="preserve">florida_bright_futures.pdf</w:t>
            </w:r>
          </w:p>
        </w:tc>
        <w:tc>
          <w:tcPr>
            <w:tcW w:type="dxa" w:w="3600"/>
            <w:tcMar>
              <w:top w:type="dxa" w:w="60"/>
              <w:left w:type="dxa" w:w="100"/>
              <w:bottom w:type="dxa" w:w="60"/>
              <w:right w:type="dxa" w:w="100"/>
            </w:tcMar>
          </w:tcPr>
          <w:p>
            <w:r>
              <w:rPr>
                <w:b w:val="false"/>
                <w:bCs w:val="false"/>
                <w:sz w:val="18"/>
                <w:szCs w:val="18"/>
              </w:rPr>
              <w:t xml:space="preserve">Florida Bright Futures (FAS)</w:t>
            </w:r>
          </w:p>
        </w:tc>
        <w:tc>
          <w:tcPr>
            <w:tcW w:type="dxa" w:w="3600"/>
            <w:tcMar>
              <w:top w:type="dxa" w:w="60"/>
              <w:left w:type="dxa" w:w="100"/>
              <w:bottom w:type="dxa" w:w="60"/>
              <w:right w:type="dxa" w:w="100"/>
            </w:tcMar>
          </w:tcPr>
          <w:p>
            <w:r>
              <w:rPr>
                <w:b w:val="false"/>
                <w:bCs w:val="false"/>
                <w:sz w:val="18"/>
                <w:szCs w:val="18"/>
              </w:rPr>
              <w:t xml:space="preserve">GPA, SAT, service hours</w:t>
            </w:r>
          </w:p>
        </w:tc>
      </w:tr>
      <w:tr>
        <w:tc>
          <w:tcPr>
            <w:tcW w:type="dxa" w:w="1900"/>
            <w:tcMar>
              <w:top w:type="dxa" w:w="60"/>
              <w:left w:type="dxa" w:w="100"/>
              <w:bottom w:type="dxa" w:w="60"/>
              <w:right w:type="dxa" w:w="100"/>
            </w:tcMar>
          </w:tcPr>
          <w:p>
            <w:r>
              <w:rPr>
                <w:b w:val="false"/>
                <w:bCs w:val="false"/>
                <w:sz w:val="18"/>
                <w:szCs w:val="18"/>
              </w:rPr>
              <w:t xml:space="preserve">federal_teach_grant.pdf</w:t>
            </w:r>
          </w:p>
        </w:tc>
        <w:tc>
          <w:tcPr>
            <w:tcW w:type="dxa" w:w="3600"/>
            <w:tcMar>
              <w:top w:type="dxa" w:w="60"/>
              <w:left w:type="dxa" w:w="100"/>
              <w:bottom w:type="dxa" w:w="60"/>
              <w:right w:type="dxa" w:w="100"/>
            </w:tcMar>
          </w:tcPr>
          <w:p>
            <w:r>
              <w:rPr>
                <w:b w:val="false"/>
                <w:bCs w:val="false"/>
                <w:sz w:val="18"/>
                <w:szCs w:val="18"/>
              </w:rPr>
              <w:t xml:space="preserve">Federal TEACH Grant</w:t>
            </w:r>
          </w:p>
        </w:tc>
        <w:tc>
          <w:tcPr>
            <w:tcW w:type="dxa" w:w="3600"/>
            <w:tcMar>
              <w:top w:type="dxa" w:w="60"/>
              <w:left w:type="dxa" w:w="100"/>
              <w:bottom w:type="dxa" w:w="60"/>
              <w:right w:type="dxa" w:w="100"/>
            </w:tcMar>
          </w:tcPr>
          <w:p>
            <w:r>
              <w:rPr>
                <w:b w:val="false"/>
                <w:bCs w:val="false"/>
                <w:sz w:val="18"/>
                <w:szCs w:val="18"/>
              </w:rPr>
              <w:t xml:space="preserve">GPA or test percentile, service commitment</w:t>
            </w:r>
          </w:p>
        </w:tc>
      </w:tr>
      <w:tr>
        <w:tc>
          <w:tcPr>
            <w:tcW w:type="dxa" w:w="1900"/>
            <w:tcMar>
              <w:top w:type="dxa" w:w="60"/>
              <w:left w:type="dxa" w:w="100"/>
              <w:bottom w:type="dxa" w:w="60"/>
              <w:right w:type="dxa" w:w="100"/>
            </w:tcMar>
          </w:tcPr>
          <w:p>
            <w:r>
              <w:rPr>
                <w:b w:val="false"/>
                <w:bCs w:val="false"/>
                <w:sz w:val="18"/>
                <w:szCs w:val="18"/>
              </w:rPr>
              <w:t xml:space="preserve">nj_eof.pdf</w:t>
            </w:r>
          </w:p>
        </w:tc>
        <w:tc>
          <w:tcPr>
            <w:tcW w:type="dxa" w:w="3600"/>
            <w:tcMar>
              <w:top w:type="dxa" w:w="60"/>
              <w:left w:type="dxa" w:w="100"/>
              <w:bottom w:type="dxa" w:w="60"/>
              <w:right w:type="dxa" w:w="100"/>
            </w:tcMar>
          </w:tcPr>
          <w:p>
            <w:r>
              <w:rPr>
                <w:b w:val="false"/>
                <w:bCs w:val="false"/>
                <w:sz w:val="18"/>
                <w:szCs w:val="18"/>
              </w:rPr>
              <w:t xml:space="preserve">NJ Educational Opportunity Fund</w:t>
            </w:r>
          </w:p>
        </w:tc>
        <w:tc>
          <w:tcPr>
            <w:tcW w:type="dxa" w:w="3600"/>
            <w:tcMar>
              <w:top w:type="dxa" w:w="60"/>
              <w:left w:type="dxa" w:w="100"/>
              <w:bottom w:type="dxa" w:w="60"/>
              <w:right w:type="dxa" w:w="100"/>
            </w:tcMar>
          </w:tcPr>
          <w:p>
            <w:r>
              <w:rPr>
                <w:b w:val="false"/>
                <w:bCs w:val="false"/>
                <w:sz w:val="18"/>
                <w:szCs w:val="18"/>
              </w:rPr>
              <w:t xml:space="preserve">income, disadvantaged background, first-gen</w:t>
            </w:r>
          </w:p>
        </w:tc>
      </w:tr>
      <w:tr>
        <w:tc>
          <w:tcPr>
            <w:tcW w:type="dxa" w:w="1900"/>
            <w:tcMar>
              <w:top w:type="dxa" w:w="60"/>
              <w:left w:type="dxa" w:w="100"/>
              <w:bottom w:type="dxa" w:w="60"/>
              <w:right w:type="dxa" w:w="100"/>
            </w:tcMar>
          </w:tcPr>
          <w:p>
            <w:r>
              <w:rPr>
                <w:b w:val="false"/>
                <w:bCs w:val="false"/>
                <w:sz w:val="18"/>
                <w:szCs w:val="18"/>
              </w:rPr>
              <w:t xml:space="preserve">federal_seog.pdf</w:t>
            </w:r>
          </w:p>
        </w:tc>
        <w:tc>
          <w:tcPr>
            <w:tcW w:type="dxa" w:w="3600"/>
            <w:tcMar>
              <w:top w:type="dxa" w:w="60"/>
              <w:left w:type="dxa" w:w="100"/>
              <w:bottom w:type="dxa" w:w="60"/>
              <w:right w:type="dxa" w:w="100"/>
            </w:tcMar>
          </w:tcPr>
          <w:p>
            <w:r>
              <w:rPr>
                <w:b w:val="false"/>
                <w:bCs w:val="false"/>
                <w:sz w:val="18"/>
                <w:szCs w:val="18"/>
              </w:rPr>
              <w:t xml:space="preserve">Federal SEOG</w:t>
            </w:r>
          </w:p>
        </w:tc>
        <w:tc>
          <w:tcPr>
            <w:tcW w:type="dxa" w:w="3600"/>
            <w:tcMar>
              <w:top w:type="dxa" w:w="60"/>
              <w:left w:type="dxa" w:w="100"/>
              <w:bottom w:type="dxa" w:w="60"/>
              <w:right w:type="dxa" w:w="100"/>
            </w:tcMar>
          </w:tcPr>
          <w:p>
            <w:r>
              <w:rPr>
                <w:b w:val="false"/>
                <w:bCs w:val="false"/>
                <w:sz w:val="18"/>
                <w:szCs w:val="18"/>
              </w:rPr>
              <w:t xml:space="preserve">need-based, funding-limited</w:t>
            </w:r>
          </w:p>
        </w:tc>
      </w:tr>
      <w:tr>
        <w:tc>
          <w:tcPr>
            <w:tcW w:type="dxa" w:w="1900"/>
            <w:tcMar>
              <w:top w:type="dxa" w:w="60"/>
              <w:left w:type="dxa" w:w="100"/>
              <w:bottom w:type="dxa" w:w="60"/>
              <w:right w:type="dxa" w:w="100"/>
            </w:tcMar>
          </w:tcPr>
          <w:p>
            <w:r>
              <w:rPr>
                <w:b w:val="false"/>
                <w:bCs w:val="false"/>
                <w:sz w:val="18"/>
                <w:szCs w:val="18"/>
              </w:rPr>
              <w:t xml:space="preserve">ny_tap.pdf</w:t>
            </w:r>
          </w:p>
        </w:tc>
        <w:tc>
          <w:tcPr>
            <w:tcW w:type="dxa" w:w="3600"/>
            <w:tcMar>
              <w:top w:type="dxa" w:w="60"/>
              <w:left w:type="dxa" w:w="100"/>
              <w:bottom w:type="dxa" w:w="60"/>
              <w:right w:type="dxa" w:w="100"/>
            </w:tcMar>
          </w:tcPr>
          <w:p>
            <w:r>
              <w:rPr>
                <w:b w:val="false"/>
                <w:bCs w:val="false"/>
                <w:sz w:val="18"/>
                <w:szCs w:val="18"/>
              </w:rPr>
              <w:t xml:space="preserve">NY Tuition Assistance Program</w:t>
            </w:r>
          </w:p>
        </w:tc>
        <w:tc>
          <w:tcPr>
            <w:tcW w:type="dxa" w:w="3600"/>
            <w:tcMar>
              <w:top w:type="dxa" w:w="60"/>
              <w:left w:type="dxa" w:w="100"/>
              <w:bottom w:type="dxa" w:w="60"/>
              <w:right w:type="dxa" w:w="100"/>
            </w:tcMar>
          </w:tcPr>
          <w:p>
            <w:r>
              <w:rPr>
                <w:b w:val="false"/>
                <w:bCs w:val="false"/>
                <w:sz w:val="18"/>
                <w:szCs w:val="18"/>
              </w:rPr>
              <w:t xml:space="preserve">income tiers by dependency status</w:t>
            </w:r>
          </w:p>
        </w:tc>
      </w:tr>
    </w:tbl>
    <w:p>
      <w:pPr>
        <w:spacing w:after="120"/>
      </w:pPr>
      <w:r>
        <w:rPr>
          <w:b w:val="false"/>
          <w:bCs w:val="false"/>
          <w:i/>
          <w:iCs/>
        </w:rPr>
        <w:t xml:space="preserve">Sourced from official program pages (state higher-ed agencies and studentaid.gov). Figures reflect research done mid-2026 and should be checked against the live source before treating any number as final, since aid thresholds move year to year.</w:t>
      </w:r>
    </w:p>
    <w:p>
      <w:pPr>
        <w:pStyle w:val="Heading2"/>
        <w:spacing w:after="80" w:before="180"/>
      </w:pPr>
      <w:r>
        <w:t xml:space="preserve">How it answers</w:t>
      </w:r>
    </w:p>
    <w:p>
      <w:pPr>
        <w:spacing w:after="120"/>
      </w:pPr>
      <w:r>
        <w:rPr>
          <w:b w:val="false"/>
          <w:bCs w:val="false"/>
          <w:i w:val="false"/>
          <w:iCs w:val="false"/>
        </w:rPr>
        <w:t xml:space="preserve">There are two phases, matching the design doc. An offline ingestion step builds the knowledge base once. Then a runtime agent answers each query against it.</w:t>
      </w:r>
    </w:p>
    <w:p>
      <w:pPr>
        <w:spacing w:after="40"/>
      </w:pPr>
      <w:r>
        <w:rPr>
          <w:b w:val="false"/>
          <w:bCs w:val="false"/>
          <w:i w:val="false"/>
          <w:iCs w:val="false"/>
        </w:rPr>
        <w:t xml:space="preserve">Docs to section-wise chunks to OpenAI embeddings (text-embedding-3-small) to ChromaDB. This runs offline, in ingest.py.</w:t>
      </w:r>
    </w:p>
    <w:p>
      <w:pPr>
        <w:spacing w:after="120"/>
      </w:pPr>
      <w:r>
        <w:rPr>
          <w:b w:val="false"/>
          <w:bCs w:val="false"/>
          <w:i w:val="false"/>
          <w:iCs w:val="false"/>
        </w:rPr>
        <w:t xml:space="preserve">Student question to Streamlit to the Pydantic AI agent, which picks retriever_tool or web_search, then returns a structured answer (either EligibilityAnswer or NeedMoreInfo) back to Streamlit.</w:t>
      </w:r>
    </w:p>
    <w:p>
      <w:pPr>
        <w:pStyle w:val="ListParagraph"/>
        <w:numPr>
          <w:ilvl w:val="0"/>
          <w:numId w:val="2"/>
        </w:numPr>
        <w:spacing w:after="60"/>
      </w:pPr>
      <w:r>
        <w:t xml:space="preserve">Ingestion (ingest.py): loads the 10 PDFs, chunks them with a header-aware section-wise chunker that splits on labels like "Eligibility:", "Income Limits:", and "Award:" so a rule clause never gets cut in half. Each chunk gets embedded with OpenAI's text-embedding-3-small and written to a persisted ChromaDB collection (chroma_data/, HNSW index, cosine distance). On the last verified run, the 10 pages produced 34 chunks.</w:t>
      </w:r>
    </w:p>
    <w:p>
      <w:pPr>
        <w:pStyle w:val="ListParagraph"/>
        <w:numPr>
          <w:ilvl w:val="0"/>
          <w:numId w:val="2"/>
        </w:numPr>
        <w:spacing w:after="60"/>
      </w:pPr>
      <w:r>
        <w:t xml:space="preserve">Runtime (agent/agent.py): a Pydantic AI agent runs a loop of thinking, acting, and observing, with two tools. retriever_tool embeds the query, searches Chroma, and returns the top matching chunks with their source and score. web_search (Tavily) only kicks in when the local corpus comes back empty. The system prompt tells the agent to call the retriever first, never invent a cutoff or deadline from memory, and cite the exact clause and source behind every answer.</w:t>
      </w:r>
    </w:p>
    <w:p>
      <w:pPr>
        <w:pStyle w:val="ListParagraph"/>
        <w:numPr>
          <w:ilvl w:val="0"/>
          <w:numId w:val="2"/>
        </w:numPr>
        <w:spacing w:after="60"/>
      </w:pPr>
      <w:r>
        <w:t xml:space="preserve">What it returns (agent/schemas.py): the agent's final answer is either an EligibilityAnswer (program, eligible as yes, no, or partial, the cited clause, the cited source, reasoning, and any caveats) or a NeedMoreInfo response when the student's info is incomplete or nothing matched. A validator also rejects any EligibilityAnswer that's missing a real citation and sends the model back around the loop instead of letting it slide.</w:t>
      </w:r>
    </w:p>
    <w:p>
      <w:pPr>
        <w:pStyle w:val="ListParagraph"/>
        <w:numPr>
          <w:ilvl w:val="0"/>
          <w:numId w:val="2"/>
        </w:numPr>
        <w:spacing w:after="60"/>
      </w:pPr>
      <w:r>
        <w:t xml:space="preserve">Guardrails: a request limit of 6 caps the whole run so a vague or multi-program question can't spiral into endless tool calls. Each tool also gets its own retry budget (2 retries) for validation failures or bad arguments. agent/trace.py turns the message history into a readable trace of thoughts, actions, and observations, both for debugging and for the UI.</w:t>
      </w:r>
    </w:p>
    <w:p>
      <w:pPr>
        <w:pStyle w:val="Heading1"/>
        <w:spacing w:after="120" w:before="260"/>
      </w:pPr>
      <w:r>
        <w:t xml:space="preserve">3. Tools and Why We Picked Them</w:t>
      </w:r>
    </w:p>
    <w:p>
      <w:pPr>
        <w:pStyle w:val="ListParagraph"/>
        <w:numPr>
          <w:ilvl w:val="0"/>
          <w:numId w:val="2"/>
        </w:numPr>
        <w:spacing w:after="60"/>
      </w:pPr>
      <w:r>
        <w:t xml:space="preserve">Pydantic AI: runs the agent loop and tool calls, and gives us structured, validated outputs.</w:t>
      </w:r>
    </w:p>
    <w:p>
      <w:pPr>
        <w:pStyle w:val="ListParagraph"/>
        <w:numPr>
          <w:ilvl w:val="0"/>
          <w:numId w:val="2"/>
        </w:numPr>
        <w:spacing w:after="60"/>
      </w:pPr>
      <w:r>
        <w:t xml:space="preserve">OpenAI API: gpt-5.4-mini for reasoning, text-embedding-3-small for embeddings. See the failure log below for why we're not on the gpt-4o family we originally planned.</w:t>
      </w:r>
    </w:p>
    <w:p>
      <w:pPr>
        <w:pStyle w:val="ListParagraph"/>
        <w:numPr>
          <w:ilvl w:val="0"/>
          <w:numId w:val="2"/>
        </w:numPr>
        <w:spacing w:after="60"/>
      </w:pPr>
      <w:r>
        <w:t xml:space="preserve">ChromaDB: a local, persisted vector store (HNSW, cosine distance) for the retrieved chunks.</w:t>
      </w:r>
    </w:p>
    <w:p>
      <w:pPr>
        <w:pStyle w:val="ListParagraph"/>
        <w:numPr>
          <w:ilvl w:val="0"/>
          <w:numId w:val="2"/>
        </w:numPr>
        <w:spacing w:after="60"/>
      </w:pPr>
      <w:r>
        <w:t xml:space="preserve">Retriever tool: a thin wrapper that embeds the query and searches Chroma. It's the agent's only real path to a citation.</w:t>
      </w:r>
    </w:p>
    <w:p>
      <w:pPr>
        <w:pStyle w:val="ListParagraph"/>
        <w:numPr>
          <w:ilvl w:val="0"/>
          <w:numId w:val="2"/>
        </w:numPr>
        <w:spacing w:after="60"/>
      </w:pPr>
      <w:r>
        <w:t xml:space="preserve">Web search tool (Tavily): the second tool, used only as a fallback, so the agent actually has to choose between two options instead of always doing the same thing.</w:t>
      </w:r>
    </w:p>
    <w:p>
      <w:pPr>
        <w:pStyle w:val="ListParagraph"/>
        <w:numPr>
          <w:ilvl w:val="0"/>
          <w:numId w:val="2"/>
        </w:numPr>
        <w:spacing w:after="60"/>
      </w:pPr>
      <w:r>
        <w:t xml:space="preserve">Streamlit: a local front end. The student's question goes on the left, the structured answer and the agent's trace go on the right.</w:t>
      </w:r>
    </w:p>
    <w:p>
      <w:pPr>
        <w:spacing w:after="120"/>
      </w:pPr>
      <w:r>
        <w:rPr>
          <w:b w:val="false"/>
          <w:bCs w:val="false"/>
          <w:i w:val="false"/>
          <w:iCs w:val="false"/>
        </w:rPr>
        <w:t xml:space="preserve">Why Pydantic AI over LangGraph: this project's loop, retrieve, maybe search, then answer, doesn't need complex branching. Pydantic AI's structured output format also maps directly onto the eligibility and citation fields we need, so we get typed EligibilityAnswer and NeedMoreInfo objects instead of parsing free-form text. That structure is what the citation-accuracy scoring in eval/metrics.py depends on.</w:t>
      </w:r>
    </w:p>
    <w:p>
      <w:pPr>
        <w:pStyle w:val="Heading1"/>
        <w:spacing w:after="120" w:before="260"/>
      </w:pPr>
      <w:r>
        <w:t xml:space="preserve">4. Comparative Evaluation (required)</w:t>
      </w:r>
    </w:p>
    <w:p>
      <w:pPr>
        <w:spacing w:after="120"/>
      </w:pPr>
      <w:r>
        <w:rPr>
          <w:b w:val="false"/>
          <w:bCs w:val="false"/>
          <w:i w:val="false"/>
          <w:iCs w:val="false"/>
        </w:rPr>
        <w:t xml:space="preserve">The assignment requires comparing at least two approaches. GrantMatch has two working systems over the same corpus, and both can be scored on the same test queries:</w:t>
      </w:r>
    </w:p>
    <w:p>
      <w:pPr>
        <w:pStyle w:val="ListParagraph"/>
        <w:numPr>
          <w:ilvl w:val="0"/>
          <w:numId w:val="2"/>
        </w:numPr>
        <w:spacing w:after="60"/>
      </w:pPr>
      <w:r>
        <w:t xml:space="preserve">Vanilla RAG baseline (rag/pipeline.py): a single retrieve-then-answer pass, no agent loop, no tool choice, no typed output. It embeds the query, pulls the top chunks, and asks the model to answer in one shot. This is the baseline the agent has to beat.</w:t>
      </w:r>
    </w:p>
    <w:p>
      <w:pPr>
        <w:pStyle w:val="ListParagraph"/>
        <w:numPr>
          <w:ilvl w:val="0"/>
          <w:numId w:val="2"/>
        </w:numPr>
        <w:spacing w:after="60"/>
      </w:pPr>
      <w:r>
        <w:t xml:space="preserve">GrantMatch agent (agent/agent.py and agent/trace.py): the loop described above, with tool choice, a validated structured output, and citation grounding enforced by the validator.</w:t>
      </w:r>
    </w:p>
    <w:p>
      <w:pPr>
        <w:spacing w:after="120"/>
      </w:pPr>
      <w:r>
        <w:rPr>
          <w:b w:val="false"/>
          <w:bCs w:val="false"/>
          <w:i w:val="false"/>
          <w:iCs w:val="false"/>
        </w:rPr>
        <w:t xml:space="preserve">The eval harness (eval/run_eval.py and eval/metrics.py) scores each system on three things: eligibility accuracy (did the verdict match the hand-labeled expected answer), citation accuracy (is the cited clause an actual, contiguous piece of text from the real source PDF, checked against the source documents directly rather than a keyword match), and hallucination rate (1 minus citation accuracy). golden_profiles.json currently has 6 hand-labeled cases built from the real program PDFs (5 EligibilityAnswer cases across 3 programs, 1 NeedMoreInfo case for a missing GPA). The runbook calls for 25 to 30 cases before this counts as a real eval set rather than a smoke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00"/>
      </w:tblGrid>
      <w:tr>
        <w:tc>
          <w:tcPr>
            <w:tcW w:type="dxa" w:w="2400"/>
            <w:shd w:fill="F2F2F2" w:val="clear"/>
            <w:tcMar>
              <w:top w:type="dxa" w:w="60"/>
              <w:left w:type="dxa" w:w="100"/>
              <w:bottom w:type="dxa" w:w="60"/>
              <w:right w:type="dxa" w:w="100"/>
            </w:tcMar>
          </w:tcPr>
          <w:p>
            <w:r>
              <w:rPr>
                <w:b/>
                <w:bCs/>
                <w:sz w:val="18"/>
                <w:szCs w:val="18"/>
              </w:rPr>
              <w:t xml:space="preserve">Metric</w:t>
            </w:r>
          </w:p>
        </w:tc>
        <w:tc>
          <w:tcPr>
            <w:tcW w:type="dxa" w:w="2400"/>
            <w:shd w:fill="F2F2F2" w:val="clear"/>
            <w:tcMar>
              <w:top w:type="dxa" w:w="60"/>
              <w:left w:type="dxa" w:w="100"/>
              <w:bottom w:type="dxa" w:w="60"/>
              <w:right w:type="dxa" w:w="100"/>
            </w:tcMar>
          </w:tcPr>
          <w:p>
            <w:r>
              <w:rPr>
                <w:b/>
                <w:bCs/>
                <w:sz w:val="18"/>
                <w:szCs w:val="18"/>
              </w:rPr>
              <w:t xml:space="preserve">Vanilla RAG baseline</w:t>
            </w:r>
          </w:p>
        </w:tc>
        <w:tc>
          <w:tcPr>
            <w:tcW w:type="dxa" w:w="2400"/>
            <w:shd w:fill="F2F2F2" w:val="clear"/>
            <w:tcMar>
              <w:top w:type="dxa" w:w="60"/>
              <w:left w:type="dxa" w:w="100"/>
              <w:bottom w:type="dxa" w:w="60"/>
              <w:right w:type="dxa" w:w="100"/>
            </w:tcMar>
          </w:tcPr>
          <w:p>
            <w:r>
              <w:rPr>
                <w:b/>
                <w:bCs/>
                <w:sz w:val="18"/>
                <w:szCs w:val="18"/>
              </w:rPr>
              <w:t xml:space="preserve">GrantMatch agent</w:t>
            </w:r>
          </w:p>
        </w:tc>
        <w:tc>
          <w:tcPr>
            <w:tcW w:type="dxa" w:w="2100"/>
            <w:shd w:fill="F2F2F2" w:val="clear"/>
            <w:tcMar>
              <w:top w:type="dxa" w:w="60"/>
              <w:left w:type="dxa" w:w="100"/>
              <w:bottom w:type="dxa" w:w="60"/>
              <w:right w:type="dxa" w:w="100"/>
            </w:tcMar>
          </w:tcPr>
          <w:p>
            <w:r>
              <w:rPr>
                <w:b/>
                <w:bCs/>
                <w:sz w:val="18"/>
                <w:szCs w:val="18"/>
              </w:rPr>
              <w:t xml:space="preserve">Target</w:t>
            </w:r>
          </w:p>
        </w:tc>
      </w:tr>
      <w:tr>
        <w:tc>
          <w:tcPr>
            <w:tcW w:type="dxa" w:w="2400"/>
            <w:tcMar>
              <w:top w:type="dxa" w:w="60"/>
              <w:left w:type="dxa" w:w="100"/>
              <w:bottom w:type="dxa" w:w="60"/>
              <w:right w:type="dxa" w:w="100"/>
            </w:tcMar>
          </w:tcPr>
          <w:p>
            <w:r>
              <w:rPr>
                <w:b w:val="false"/>
                <w:bCs w:val="false"/>
                <w:sz w:val="18"/>
                <w:szCs w:val="18"/>
              </w:rPr>
              <w:t xml:space="preserve">Eligibility accuracy</w:t>
            </w:r>
          </w:p>
        </w:tc>
        <w:tc>
          <w:tcPr>
            <w:tcW w:type="dxa" w:w="2400"/>
            <w:tcMar>
              <w:top w:type="dxa" w:w="60"/>
              <w:left w:type="dxa" w:w="100"/>
              <w:bottom w:type="dxa" w:w="60"/>
              <w:right w:type="dxa" w:w="100"/>
            </w:tcMar>
          </w:tcPr>
          <w:p>
            <w:r>
              <w:rPr>
                <w:b w:val="false"/>
                <w:bCs w:val="false"/>
                <w:sz w:val="18"/>
                <w:szCs w:val="18"/>
              </w:rPr>
              <w:t xml:space="preserve">TBD, run below</w:t>
            </w:r>
          </w:p>
        </w:tc>
        <w:tc>
          <w:tcPr>
            <w:tcW w:type="dxa" w:w="2400"/>
            <w:tcMar>
              <w:top w:type="dxa" w:w="60"/>
              <w:left w:type="dxa" w:w="100"/>
              <w:bottom w:type="dxa" w:w="60"/>
              <w:right w:type="dxa" w:w="100"/>
            </w:tcMar>
          </w:tcPr>
          <w:p>
            <w:r>
              <w:rPr>
                <w:b w:val="false"/>
                <w:bCs w:val="false"/>
                <w:sz w:val="18"/>
                <w:szCs w:val="18"/>
              </w:rPr>
              <w:t xml:space="preserve">TBD, run below</w:t>
            </w:r>
          </w:p>
        </w:tc>
        <w:tc>
          <w:tcPr>
            <w:tcW w:type="dxa" w:w="2100"/>
            <w:tcMar>
              <w:top w:type="dxa" w:w="60"/>
              <w:left w:type="dxa" w:w="100"/>
              <w:bottom w:type="dxa" w:w="60"/>
              <w:right w:type="dxa" w:w="100"/>
            </w:tcMar>
          </w:tcPr>
          <w:p>
            <w:r>
              <w:rPr>
                <w:b w:val="false"/>
                <w:bCs w:val="false"/>
                <w:sz w:val="18"/>
                <w:szCs w:val="18"/>
              </w:rPr>
              <w:t xml:space="preserve">&gt;80%</w:t>
            </w:r>
          </w:p>
        </w:tc>
      </w:tr>
      <w:tr>
        <w:tc>
          <w:tcPr>
            <w:tcW w:type="dxa" w:w="2400"/>
            <w:tcMar>
              <w:top w:type="dxa" w:w="60"/>
              <w:left w:type="dxa" w:w="100"/>
              <w:bottom w:type="dxa" w:w="60"/>
              <w:right w:type="dxa" w:w="100"/>
            </w:tcMar>
          </w:tcPr>
          <w:p>
            <w:r>
              <w:rPr>
                <w:b w:val="false"/>
                <w:bCs w:val="false"/>
                <w:sz w:val="18"/>
                <w:szCs w:val="18"/>
              </w:rPr>
              <w:t xml:space="preserve">Citation accuracy</w:t>
            </w:r>
          </w:p>
        </w:tc>
        <w:tc>
          <w:tcPr>
            <w:tcW w:type="dxa" w:w="2400"/>
            <w:tcMar>
              <w:top w:type="dxa" w:w="60"/>
              <w:left w:type="dxa" w:w="100"/>
              <w:bottom w:type="dxa" w:w="60"/>
              <w:right w:type="dxa" w:w="100"/>
            </w:tcMar>
          </w:tcPr>
          <w:p>
            <w:r>
              <w:rPr>
                <w:b w:val="false"/>
                <w:bCs w:val="false"/>
                <w:sz w:val="18"/>
                <w:szCs w:val="18"/>
              </w:rPr>
              <w:t xml:space="preserve">n/a, no citation field</w:t>
            </w:r>
          </w:p>
        </w:tc>
        <w:tc>
          <w:tcPr>
            <w:tcW w:type="dxa" w:w="2400"/>
            <w:tcMar>
              <w:top w:type="dxa" w:w="60"/>
              <w:left w:type="dxa" w:w="100"/>
              <w:bottom w:type="dxa" w:w="60"/>
              <w:right w:type="dxa" w:w="100"/>
            </w:tcMar>
          </w:tcPr>
          <w:p>
            <w:r>
              <w:rPr>
                <w:b w:val="false"/>
                <w:bCs w:val="false"/>
                <w:sz w:val="18"/>
                <w:szCs w:val="18"/>
              </w:rPr>
              <w:t xml:space="preserve">TBD, run below</w:t>
            </w:r>
          </w:p>
        </w:tc>
        <w:tc>
          <w:tcPr>
            <w:tcW w:type="dxa" w:w="2100"/>
            <w:tcMar>
              <w:top w:type="dxa" w:w="60"/>
              <w:left w:type="dxa" w:w="100"/>
              <w:bottom w:type="dxa" w:w="60"/>
              <w:right w:type="dxa" w:w="100"/>
            </w:tcMar>
          </w:tcPr>
          <w:p>
            <w:r>
              <w:rPr>
                <w:b w:val="false"/>
                <w:bCs w:val="false"/>
                <w:sz w:val="18"/>
                <w:szCs w:val="18"/>
              </w:rPr>
              <w:t xml:space="preserve">&gt;70%</w:t>
            </w:r>
          </w:p>
        </w:tc>
      </w:tr>
      <w:tr>
        <w:tc>
          <w:tcPr>
            <w:tcW w:type="dxa" w:w="2400"/>
            <w:tcMar>
              <w:top w:type="dxa" w:w="60"/>
              <w:left w:type="dxa" w:w="100"/>
              <w:bottom w:type="dxa" w:w="60"/>
              <w:right w:type="dxa" w:w="100"/>
            </w:tcMar>
          </w:tcPr>
          <w:p>
            <w:r>
              <w:rPr>
                <w:b w:val="false"/>
                <w:bCs w:val="false"/>
                <w:sz w:val="18"/>
                <w:szCs w:val="18"/>
              </w:rPr>
              <w:t xml:space="preserve">Hallucination rate</w:t>
            </w:r>
          </w:p>
        </w:tc>
        <w:tc>
          <w:tcPr>
            <w:tcW w:type="dxa" w:w="2400"/>
            <w:tcMar>
              <w:top w:type="dxa" w:w="60"/>
              <w:left w:type="dxa" w:w="100"/>
              <w:bottom w:type="dxa" w:w="60"/>
              <w:right w:type="dxa" w:w="100"/>
            </w:tcMar>
          </w:tcPr>
          <w:p>
            <w:r>
              <w:rPr>
                <w:b w:val="false"/>
                <w:bCs w:val="false"/>
                <w:sz w:val="18"/>
                <w:szCs w:val="18"/>
              </w:rPr>
              <w:t xml:space="preserve">n/a</w:t>
            </w:r>
          </w:p>
        </w:tc>
        <w:tc>
          <w:tcPr>
            <w:tcW w:type="dxa" w:w="2400"/>
            <w:tcMar>
              <w:top w:type="dxa" w:w="60"/>
              <w:left w:type="dxa" w:w="100"/>
              <w:bottom w:type="dxa" w:w="60"/>
              <w:right w:type="dxa" w:w="100"/>
            </w:tcMar>
          </w:tcPr>
          <w:p>
            <w:r>
              <w:rPr>
                <w:b w:val="false"/>
                <w:bCs w:val="false"/>
                <w:sz w:val="18"/>
                <w:szCs w:val="18"/>
              </w:rPr>
              <w:t xml:space="preserve">TBD, run below</w:t>
            </w:r>
          </w:p>
        </w:tc>
        <w:tc>
          <w:tcPr>
            <w:tcW w:type="dxa" w:w="2100"/>
            <w:tcMar>
              <w:top w:type="dxa" w:w="60"/>
              <w:left w:type="dxa" w:w="100"/>
              <w:bottom w:type="dxa" w:w="60"/>
              <w:right w:type="dxa" w:w="100"/>
            </w:tcMar>
          </w:tcPr>
          <w:p>
            <w:r>
              <w:rPr>
                <w:b w:val="false"/>
                <w:bCs w:val="false"/>
                <w:sz w:val="18"/>
                <w:szCs w:val="18"/>
              </w:rPr>
              <w:t xml:space="preserve">&lt;10%</w:t>
            </w:r>
          </w:p>
        </w:tc>
      </w:tr>
      <w:tr>
        <w:tc>
          <w:tcPr>
            <w:tcW w:type="dxa" w:w="2400"/>
            <w:tcMar>
              <w:top w:type="dxa" w:w="60"/>
              <w:left w:type="dxa" w:w="100"/>
              <w:bottom w:type="dxa" w:w="60"/>
              <w:right w:type="dxa" w:w="100"/>
            </w:tcMar>
          </w:tcPr>
          <w:p>
            <w:r>
              <w:rPr>
                <w:b w:val="false"/>
                <w:bCs w:val="false"/>
                <w:sz w:val="18"/>
                <w:szCs w:val="18"/>
              </w:rPr>
              <w:t xml:space="preserve">Avg. tool calls per query</w:t>
            </w:r>
          </w:p>
        </w:tc>
        <w:tc>
          <w:tcPr>
            <w:tcW w:type="dxa" w:w="2400"/>
            <w:tcMar>
              <w:top w:type="dxa" w:w="60"/>
              <w:left w:type="dxa" w:w="100"/>
              <w:bottom w:type="dxa" w:w="60"/>
              <w:right w:type="dxa" w:w="100"/>
            </w:tcMar>
          </w:tcPr>
          <w:p>
            <w:r>
              <w:rPr>
                <w:b w:val="false"/>
                <w:bCs w:val="false"/>
                <w:sz w:val="18"/>
                <w:szCs w:val="18"/>
              </w:rPr>
              <w:t xml:space="preserve">n/a, single pass</w:t>
            </w:r>
          </w:p>
        </w:tc>
        <w:tc>
          <w:tcPr>
            <w:tcW w:type="dxa" w:w="2400"/>
            <w:tcMar>
              <w:top w:type="dxa" w:w="60"/>
              <w:left w:type="dxa" w:w="100"/>
              <w:bottom w:type="dxa" w:w="60"/>
              <w:right w:type="dxa" w:w="100"/>
            </w:tcMar>
          </w:tcPr>
          <w:p>
            <w:r>
              <w:rPr>
                <w:b w:val="false"/>
                <w:bCs w:val="false"/>
                <w:sz w:val="18"/>
                <w:szCs w:val="18"/>
              </w:rPr>
              <w:t xml:space="preserve">TBD, run below</w:t>
            </w:r>
          </w:p>
        </w:tc>
        <w:tc>
          <w:tcPr>
            <w:tcW w:type="dxa" w:w="2100"/>
            <w:tcMar>
              <w:top w:type="dxa" w:w="60"/>
              <w:left w:type="dxa" w:w="100"/>
              <w:bottom w:type="dxa" w:w="60"/>
              <w:right w:type="dxa" w:w="100"/>
            </w:tcMar>
          </w:tcPr>
          <w:p>
            <w:r>
              <w:rPr>
                <w:b w:val="false"/>
                <w:bCs w:val="false"/>
                <w:sz w:val="18"/>
                <w:szCs w:val="18"/>
              </w:rPr>
              <w:t xml:space="preserve">n/a</w:t>
            </w:r>
          </w:p>
        </w:tc>
      </w:tr>
    </w:tbl>
    <w:p>
      <w:pPr>
        <w:spacing w:after="120"/>
      </w:pPr>
      <w:r>
        <w:rPr>
          <w:b w:val="false"/>
          <w:bCs w:val="false"/>
          <w:i/>
          <w:iCs/>
        </w:rPr>
        <w:t xml:space="preserve">These numbers are left blank on purpose instead of estimated. Both the eval harness (python eval/run_eval.py) and the baseline (python rag/pipeline.py "your question") call the OpenAI API directly, and this write-up was put together in an environment without network access to that API. Run both against the same query set and paste the printed results into this table before you submit. Don't report estimated numbers as real results.</w:t>
      </w:r>
    </w:p>
    <w:p>
      <w:pPr>
        <w:spacing w:after="120"/>
      </w:pPr>
      <w:r>
        <w:rPr>
          <w:b w:val="false"/>
          <w:bCs w:val="false"/>
          <w:i w:val="false"/>
          <w:iCs w:val="false"/>
        </w:rPr>
        <w:t xml:space="preserve">What we'd expect to see, based on how the two systems are built: the baseline has no way to refuse an answer or flag a partial match. It always writes something from whatever it retrieved, even if that content doesn't actually answer the question. The agent can instead ask for more info, retry a tool call, or mark an answer as partial, which should mean higher citation accuracy and a lower hallucination rate on tricky or multi-condition profiles, like the missing_gpa_info case in golden_profiles.json. That's the actual claim the real numbers need to confirm.</w:t>
      </w:r>
    </w:p>
    <w:p>
      <w:pPr>
        <w:pStyle w:val="Heading1"/>
        <w:spacing w:after="120" w:before="260"/>
      </w:pPr>
      <w:r>
        <w:t xml:space="preserve">5. Failure Analysis (required)</w:t>
      </w:r>
    </w:p>
    <w:p>
      <w:pPr>
        <w:spacing w:after="120"/>
      </w:pPr>
      <w:r>
        <w:rPr>
          <w:b w:val="false"/>
          <w:bCs w:val="false"/>
          <w:i w:val="false"/>
          <w:iCs w:val="false"/>
        </w:rPr>
        <w:t xml:space="preserve">A real log of what broke and how it got fixed, pulled from the commit history rather than written from memory:</w:t>
      </w:r>
    </w:p>
    <w:p>
      <w:pPr>
        <w:pStyle w:val="ListParagraph"/>
        <w:numPr>
          <w:ilvl w:val="0"/>
          <w:numId w:val="2"/>
        </w:numPr>
        <w:spacing w:after="60"/>
      </w:pPr>
      <w:r>
        <w:t xml:space="preserve">ChromaStore was wiping its own data every time it reopened. The original store deleted and rebuilt the collection on every instantiation, so any query-time use of ChromaStore, from the agent or the app, erased what ingest.py had just built. Fixed by adding a reset flag: the default is now to reopen an existing collection, and only running python ingest.py with reset=True rebuilds it on purpose.</w:t>
      </w:r>
    </w:p>
    <w:p>
      <w:pPr>
        <w:pStyle w:val="ListParagraph"/>
        <w:numPr>
          <w:ilvl w:val="0"/>
          <w:numId w:val="2"/>
        </w:numPr>
        <w:spacing w:after="60"/>
      </w:pPr>
      <w:r>
        <w:t xml:space="preserve">We assumed the wrong model family. The design called for gpt-4o and gpt-4o-mini, but this project's OpenAI key only has access to the gpt-5.4 family. That showed up as a 403 model_not_found error in practice, not something we caught at design time. shared/llm.py and agent/agent.py were switched to gpt-5.4-mini, gpt-5.4-nano, and text-embedding-3-small.</w:t>
      </w:r>
    </w:p>
    <w:p>
      <w:pPr>
        <w:pStyle w:val="ListParagraph"/>
        <w:numPr>
          <w:ilvl w:val="0"/>
          <w:numId w:val="2"/>
        </w:numPr>
        <w:spacing w:after="60"/>
      </w:pPr>
      <w:r>
        <w:t xml:space="preserve">Streamlit Cloud deployment added complexity without paying off. Getting Streamlit's secrets to reach the environment before agent.py builds its agent at import time needed a bridge in app.py, since .env is gitignored and never reaches Cloud. Once we decided the demo would just run locally, we removed that bridge and the dev container files. Confirmed the app still starts clean and serves fine without them. One dependency got cut once it stopped earning its place.</w:t>
      </w:r>
    </w:p>
    <w:p>
      <w:pPr>
        <w:pStyle w:val="ListParagraph"/>
        <w:numPr>
          <w:ilvl w:val="0"/>
          <w:numId w:val="2"/>
        </w:numPr>
        <w:spacing w:after="60"/>
      </w:pPr>
      <w:r>
        <w:t xml:space="preserve">A Streamlit session-state bug. Setting st.session_state.query_input after the bound text box was already created raised an exception every time someone clicked an example question. It also caused typed input to silently snap back to the last example on rerun. Fixed by moving the button handling above the text box, so the state gets set before the widget exists, and binding the box straight to session state.</w:t>
      </w:r>
    </w:p>
    <w:p>
      <w:pPr>
        <w:pStyle w:val="ListParagraph"/>
        <w:numPr>
          <w:ilvl w:val="0"/>
          <w:numId w:val="2"/>
        </w:numPr>
        <w:spacing w:after="60"/>
      </w:pPr>
      <w:r>
        <w:t xml:space="preserve">We built hybrid retrieval (dense search plus BM25, in retrieval/hybrid.py and bm25_search.py) and wired it into the standalone pipeline script, but chose not to use it in the agent's retriever tool for this version. At this size, 34 chunks from 10 programs, plain vector search isn't a bottleneck, and the MVP scope deliberately left hybrid search, reranking, and query rewriting for later so we could spend the time on the agent loop and eval harness instead.</w:t>
      </w:r>
    </w:p>
    <w:p>
      <w:pPr>
        <w:pStyle w:val="ListParagraph"/>
        <w:numPr>
          <w:ilvl w:val="0"/>
          <w:numId w:val="2"/>
        </w:numPr>
        <w:spacing w:after="60"/>
      </w:pPr>
      <w:r>
        <w:t xml:space="preserve">The agent loop was first built and tested against a fake store, before pydantic-ai was even installed in the build environment, so the full loop was unverified end to end for a while. That got closed out once the real dependency was installed and a live run returned a correctly grounded answer citing the actual Cal Grant A clause.</w:t>
      </w:r>
    </w:p>
    <w:p>
      <w:pPr>
        <w:pStyle w:val="Heading1"/>
        <w:spacing w:after="120" w:before="260"/>
      </w:pPr>
      <w:r>
        <w:t xml:space="preserve">6. User Interface</w:t>
      </w:r>
    </w:p>
    <w:p>
      <w:pPr>
        <w:spacing w:after="120"/>
      </w:pPr>
      <w:r>
        <w:rPr>
          <w:b w:val="false"/>
          <w:bCs w:val="false"/>
          <w:i w:val="false"/>
          <w:iCs w:val="false"/>
        </w:rPr>
        <w:t xml:space="preserve">A Streamlit app (app.py), for local use only. On the left, a free-text box for the student's situation and question, plus four example prompts: three real eligibility questions across three programs, and one deliberately vague one ("Am I eligible for a scholarship?") to trigger the NeedMoreInfo path. On the right, the structured answer, shown with a color-coded badge for yes, no, or partial, along with the cited clause, source, reasoning, and any caveats, or the follow-up question if more info is needed. Next to that is the full agent trace, so you can see the thoughts, actions, and observations, and which tool the agent picked, instead of getting a black box.</w:t>
      </w:r>
    </w:p>
    <w:p>
      <w:pPr>
        <w:pStyle w:val="Heading1"/>
        <w:spacing w:after="120" w:before="260"/>
      </w:pPr>
      <w:r>
        <w:t xml:space="preserve">7. Status and What's Left</w:t>
      </w:r>
    </w:p>
    <w:p>
      <w:pPr>
        <w:pStyle w:val="ListParagraph"/>
        <w:numPr>
          <w:ilvl w:val="0"/>
          <w:numId w:val="2"/>
        </w:numPr>
        <w:spacing w:after="60"/>
      </w:pPr>
      <w:r>
        <w:t xml:space="preserve">The code is done: ingestion, the agent with both tools, the typed output, guardrails, tracing, the vanilla RAG baseline, the eval harness, and the UI are all built and in the repo.</w:t>
      </w:r>
    </w:p>
    <w:p>
      <w:pPr>
        <w:pStyle w:val="ListParagraph"/>
        <w:numPr>
          <w:ilvl w:val="0"/>
          <w:numId w:val="2"/>
        </w:numPr>
        <w:spacing w:after="60"/>
      </w:pPr>
      <w:r>
        <w:t xml:space="preserve">Before final submission: grow golden_profiles.json from 6 cases to the 25 to 30 hand-labeled, independently checked profiles the runbook calls for. Run eval/run_eval.py and the baseline against that full set with real API access, fill in the results table in section 4, and write a short conclusion on which approach wins and why, since the assignment asks for one.</w:t>
      </w:r>
    </w:p>
    <w:p>
      <w:pPr>
        <w:pStyle w:val="ListParagraph"/>
        <w:numPr>
          <w:ilvl w:val="0"/>
          <w:numId w:val="2"/>
        </w:numPr>
        <w:spacing w:after="60"/>
      </w:pPr>
      <w:r>
        <w:t xml:space="preserve">Double-check each program's income, GPA, and deadline figures in data/programs against the live source before treating any number as current. The PDFs were built from research done mid-2026, and aid thresholds change year to year.</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2026-07-21T16:38:35.517Z</dcterms:created>
  <dcterms:modified xsi:type="dcterms:W3CDTF">2026-07-21T16:38:35.518Z</dcterms:modified>
</cp:coreProperties>
</file>

<file path=docProps/custom.xml><?xml version="1.0" encoding="utf-8"?>
<Properties xmlns="http://schemas.openxmlformats.org/officeDocument/2006/custom-properties" xmlns:vt="http://schemas.openxmlformats.org/officeDocument/2006/docPropsVTypes"/>
</file>