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6"/>
          <w:szCs w:val="36"/>
        </w:rPr>
        <w:t xml:space="preserve">GrantMatch Build Runbook</w:t>
      </w:r>
    </w:p>
    <w:p>
      <w:pPr>
        <w:spacing w:after="260"/>
        <w:jc w:val="center"/>
      </w:pPr>
      <w:r>
        <w:rPr>
          <w:i/>
          <w:iCs/>
          <w:sz w:val="20"/>
          <w:szCs w:val="20"/>
        </w:rPr>
        <w:t xml:space="preserve">Reference for building the MVP. Two sibling labs already contain most of the pieces — adapt, don't rewrite from zero.</w:t>
      </w:r>
    </w:p>
    <w:p>
      <w:pPr>
        <w:pStyle w:val="Heading1"/>
        <w:spacing w:after="120" w:before="280"/>
      </w:pPr>
      <w:r>
        <w:rPr>
          <w:b/>
          <w:bCs/>
          <w:color w:val="2e74b5"/>
          <w:sz w:val="30"/>
          <w:szCs w:val="30"/>
        </w:rPr>
        <w:t xml:space="preserve">Source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200"/>
        <w:gridCol w:w="3800"/>
      </w:tblGrid>
      <w:tr>
        <w:trPr>
          <w:tblHeader/>
        </w:trPr>
        <w:tc>
          <w:tcPr>
            <w:tcW w:type="dxa" w:w="1700"/>
            <w:shd w:fill="d9e6f2" w:val="clear"/>
            <w:tcMar>
              <w:top w:type="dxa" w:w="80"/>
              <w:left w:type="dxa" w:w="100"/>
              <w:bottom w:type="dxa" w:w="80"/>
              <w:right w:type="dxa" w:w="100"/>
            </w:tcMar>
          </w:tcPr>
          <w:p>
            <w:r>
              <w:rPr>
                <w:b/>
                <w:bCs/>
                <w:sz w:val="19"/>
                <w:szCs w:val="19"/>
              </w:rPr>
              <w:t xml:space="preserve">Component</w:t>
            </w:r>
          </w:p>
        </w:tc>
        <w:tc>
          <w:tcPr>
            <w:tcW w:type="dxa" w:w="1700"/>
            <w:shd w:fill="d9e6f2" w:val="clear"/>
            <w:tcMar>
              <w:top w:type="dxa" w:w="80"/>
              <w:left w:type="dxa" w:w="100"/>
              <w:bottom w:type="dxa" w:w="80"/>
              <w:right w:type="dxa" w:w="100"/>
            </w:tcMar>
          </w:tcPr>
          <w:p>
            <w:r>
              <w:rPr>
                <w:b/>
                <w:bCs/>
                <w:sz w:val="19"/>
                <w:szCs w:val="19"/>
              </w:rPr>
              <w:t xml:space="preserve">Pull from</w:t>
            </w:r>
          </w:p>
        </w:tc>
        <w:tc>
          <w:tcPr>
            <w:tcW w:type="dxa" w:w="2200"/>
            <w:shd w:fill="d9e6f2" w:val="clear"/>
            <w:tcMar>
              <w:top w:type="dxa" w:w="80"/>
              <w:left w:type="dxa" w:w="100"/>
              <w:bottom w:type="dxa" w:w="80"/>
              <w:right w:type="dxa" w:w="100"/>
            </w:tcMar>
          </w:tcPr>
          <w:p>
            <w:r>
              <w:rPr>
                <w:b/>
                <w:bCs/>
                <w:sz w:val="19"/>
                <w:szCs w:val="19"/>
              </w:rPr>
              <w:t xml:space="preserve">File(s)</w:t>
            </w:r>
          </w:p>
        </w:tc>
        <w:tc>
          <w:tcPr>
            <w:tcW w:type="dxa" w:w="3800"/>
            <w:shd w:fill="d9e6f2" w:val="clear"/>
            <w:tcMar>
              <w:top w:type="dxa" w:w="80"/>
              <w:left w:type="dxa" w:w="100"/>
              <w:bottom w:type="dxa" w:w="80"/>
              <w:right w:type="dxa" w:w="100"/>
            </w:tcMar>
          </w:tcPr>
          <w:p>
            <w:r>
              <w:rPr>
                <w:b/>
                <w:bCs/>
                <w:sz w:val="19"/>
                <w:szCs w:val="19"/>
              </w:rPr>
              <w:t xml:space="preserve">Action</w:t>
            </w:r>
          </w:p>
        </w:tc>
      </w:tr>
      <w:tr>
        <w:tc>
          <w:tcPr>
            <w:tcW w:type="dxa" w:w="1700"/>
            <w:tcMar>
              <w:top w:type="dxa" w:w="80"/>
              <w:left w:type="dxa" w:w="100"/>
              <w:bottom w:type="dxa" w:w="80"/>
              <w:right w:type="dxa" w:w="100"/>
            </w:tcMar>
          </w:tcPr>
          <w:p>
            <w:r>
              <w:rPr>
                <w:sz w:val="19"/>
                <w:szCs w:val="19"/>
              </w:rPr>
              <w:t xml:space="preserve">PDF/doc loader</w:t>
            </w:r>
          </w:p>
        </w:tc>
        <w:tc>
          <w:tcPr>
            <w:tcW w:type="dxa" w:w="1700"/>
            <w:tcMar>
              <w:top w:type="dxa" w:w="80"/>
              <w:left w:type="dxa" w:w="100"/>
              <w:bottom w:type="dxa" w:w="80"/>
              <w:right w:type="dxa" w:w="100"/>
            </w:tcMar>
          </w:tcPr>
          <w:p>
            <w:r>
              <w:rPr>
                <w:sz w:val="19"/>
                <w:szCs w:val="19"/>
              </w:rPr>
              <w:t xml:space="preserve">rag-chunking-lab</w:t>
            </w:r>
          </w:p>
        </w:tc>
        <w:tc>
          <w:tcPr>
            <w:tcW w:type="dxa" w:w="2200"/>
            <w:tcMar>
              <w:top w:type="dxa" w:w="80"/>
              <w:left w:type="dxa" w:w="100"/>
              <w:bottom w:type="dxa" w:w="80"/>
              <w:right w:type="dxa" w:w="100"/>
            </w:tcMar>
          </w:tcPr>
          <w:p>
            <w:r>
              <w:rPr>
                <w:sz w:val="19"/>
                <w:szCs w:val="19"/>
              </w:rPr>
              <w:t xml:space="preserve">shared/loader.py</w:t>
            </w:r>
          </w:p>
        </w:tc>
        <w:tc>
          <w:tcPr>
            <w:tcW w:type="dxa" w:w="3800"/>
            <w:tcMar>
              <w:top w:type="dxa" w:w="80"/>
              <w:left w:type="dxa" w:w="100"/>
              <w:bottom w:type="dxa" w:w="80"/>
              <w:right w:type="dxa" w:w="100"/>
            </w:tcMar>
          </w:tcPr>
          <w:p>
            <w:r>
              <w:rPr>
                <w:sz w:val="19"/>
                <w:szCs w:val="19"/>
              </w:rPr>
              <w:t xml:space="preserve">reuse as-is</w:t>
            </w:r>
          </w:p>
        </w:tc>
      </w:tr>
      <w:tr>
        <w:tc>
          <w:tcPr>
            <w:tcW w:type="dxa" w:w="1700"/>
            <w:tcMar>
              <w:top w:type="dxa" w:w="80"/>
              <w:left w:type="dxa" w:w="100"/>
              <w:bottom w:type="dxa" w:w="80"/>
              <w:right w:type="dxa" w:w="100"/>
            </w:tcMar>
          </w:tcPr>
          <w:p>
            <w:r>
              <w:rPr>
                <w:sz w:val="19"/>
                <w:szCs w:val="19"/>
              </w:rPr>
              <w:t xml:space="preserve">Chunking</w:t>
            </w:r>
          </w:p>
        </w:tc>
        <w:tc>
          <w:tcPr>
            <w:tcW w:type="dxa" w:w="1700"/>
            <w:tcMar>
              <w:top w:type="dxa" w:w="80"/>
              <w:left w:type="dxa" w:w="100"/>
              <w:bottom w:type="dxa" w:w="80"/>
              <w:right w:type="dxa" w:w="100"/>
            </w:tcMar>
          </w:tcPr>
          <w:p>
            <w:r>
              <w:rPr>
                <w:sz w:val="19"/>
                <w:szCs w:val="19"/>
              </w:rPr>
              <w:t xml:space="preserve">rag-chunking-lab</w:t>
            </w:r>
          </w:p>
        </w:tc>
        <w:tc>
          <w:tcPr>
            <w:tcW w:type="dxa" w:w="2200"/>
            <w:tcMar>
              <w:top w:type="dxa" w:w="80"/>
              <w:left w:type="dxa" w:w="100"/>
              <w:bottom w:type="dxa" w:w="80"/>
              <w:right w:type="dxa" w:w="100"/>
            </w:tcMar>
          </w:tcPr>
          <w:p>
            <w:r>
              <w:rPr>
                <w:sz w:val="19"/>
                <w:szCs w:val="19"/>
              </w:rPr>
              <w:t xml:space="preserve">chunking/section_wise.py</w:t>
            </w:r>
          </w:p>
        </w:tc>
        <w:tc>
          <w:tcPr>
            <w:tcW w:type="dxa" w:w="3800"/>
            <w:tcMar>
              <w:top w:type="dxa" w:w="80"/>
              <w:left w:type="dxa" w:w="100"/>
              <w:bottom w:type="dxa" w:w="80"/>
              <w:right w:type="dxa" w:w="100"/>
            </w:tcMar>
          </w:tcPr>
          <w:p>
            <w:r>
              <w:rPr>
                <w:sz w:val="19"/>
                <w:szCs w:val="19"/>
              </w:rPr>
              <w:t xml:space="preserve">reuse as-is — rule docs have headers (Eligibility, Income Limits, Deadlines)</w:t>
            </w:r>
          </w:p>
        </w:tc>
      </w:tr>
      <w:tr>
        <w:tc>
          <w:tcPr>
            <w:tcW w:type="dxa" w:w="1700"/>
            <w:tcMar>
              <w:top w:type="dxa" w:w="80"/>
              <w:left w:type="dxa" w:w="100"/>
              <w:bottom w:type="dxa" w:w="80"/>
              <w:right w:type="dxa" w:w="100"/>
            </w:tcMar>
          </w:tcPr>
          <w:p>
            <w:r>
              <w:rPr>
                <w:sz w:val="19"/>
                <w:szCs w:val="19"/>
              </w:rPr>
              <w:t xml:space="preserve">Vector store</w:t>
            </w:r>
          </w:p>
        </w:tc>
        <w:tc>
          <w:tcPr>
            <w:tcW w:type="dxa" w:w="1700"/>
            <w:tcMar>
              <w:top w:type="dxa" w:w="80"/>
              <w:left w:type="dxa" w:w="100"/>
              <w:bottom w:type="dxa" w:w="80"/>
              <w:right w:type="dxa" w:w="100"/>
            </w:tcMar>
          </w:tcPr>
          <w:p>
            <w:r>
              <w:rPr>
                <w:sz w:val="19"/>
                <w:szCs w:val="19"/>
              </w:rPr>
              <w:t xml:space="preserve">rag-chunking-lab</w:t>
            </w:r>
          </w:p>
        </w:tc>
        <w:tc>
          <w:tcPr>
            <w:tcW w:type="dxa" w:w="2200"/>
            <w:tcMar>
              <w:top w:type="dxa" w:w="80"/>
              <w:left w:type="dxa" w:w="100"/>
              <w:bottom w:type="dxa" w:w="80"/>
              <w:right w:type="dxa" w:w="100"/>
            </w:tcMar>
          </w:tcPr>
          <w:p>
            <w:r>
              <w:rPr>
                <w:sz w:val="19"/>
                <w:szCs w:val="19"/>
              </w:rPr>
              <w:t xml:space="preserve">vectordb/chroma_store.py</w:t>
            </w:r>
          </w:p>
        </w:tc>
        <w:tc>
          <w:tcPr>
            <w:tcW w:type="dxa" w:w="3800"/>
            <w:tcMar>
              <w:top w:type="dxa" w:w="80"/>
              <w:left w:type="dxa" w:w="100"/>
              <w:bottom w:type="dxa" w:w="80"/>
              <w:right w:type="dxa" w:w="100"/>
            </w:tcMar>
          </w:tcPr>
          <w:p>
            <w:r>
              <w:rPr>
                <w:sz w:val="19"/>
                <w:szCs w:val="19"/>
              </w:rPr>
              <w:t xml:space="preserve">reuse as-is, near copy-paste</w:t>
            </w:r>
          </w:p>
        </w:tc>
      </w:tr>
      <w:tr>
        <w:tc>
          <w:tcPr>
            <w:tcW w:type="dxa" w:w="1700"/>
            <w:tcMar>
              <w:top w:type="dxa" w:w="80"/>
              <w:left w:type="dxa" w:w="100"/>
              <w:bottom w:type="dxa" w:w="80"/>
              <w:right w:type="dxa" w:w="100"/>
            </w:tcMar>
          </w:tcPr>
          <w:p>
            <w:r>
              <w:rPr>
                <w:sz w:val="19"/>
                <w:szCs w:val="19"/>
              </w:rPr>
              <w:t xml:space="preserve">Embedding</w:t>
            </w:r>
          </w:p>
        </w:tc>
        <w:tc>
          <w:tcPr>
            <w:tcW w:type="dxa" w:w="1700"/>
            <w:tcMar>
              <w:top w:type="dxa" w:w="80"/>
              <w:left w:type="dxa" w:w="100"/>
              <w:bottom w:type="dxa" w:w="80"/>
              <w:right w:type="dxa" w:w="100"/>
            </w:tcMar>
          </w:tcPr>
          <w:p>
            <w:r>
              <w:rPr>
                <w:sz w:val="19"/>
                <w:szCs w:val="19"/>
              </w:rPr>
              <w:t xml:space="preserve">rag-chunking-lab (pattern)</w:t>
            </w:r>
          </w:p>
        </w:tc>
        <w:tc>
          <w:tcPr>
            <w:tcW w:type="dxa" w:w="2200"/>
            <w:tcMar>
              <w:top w:type="dxa" w:w="80"/>
              <w:left w:type="dxa" w:w="100"/>
              <w:bottom w:type="dxa" w:w="80"/>
              <w:right w:type="dxa" w:w="100"/>
            </w:tcMar>
          </w:tcPr>
          <w:p>
            <w:r>
              <w:rPr>
                <w:sz w:val="19"/>
                <w:szCs w:val="19"/>
              </w:rPr>
              <w:t xml:space="preserve">shared/embedder.py</w:t>
            </w:r>
          </w:p>
        </w:tc>
        <w:tc>
          <w:tcPr>
            <w:tcW w:type="dxa" w:w="3800"/>
            <w:tcMar>
              <w:top w:type="dxa" w:w="80"/>
              <w:left w:type="dxa" w:w="100"/>
              <w:bottom w:type="dxa" w:w="80"/>
              <w:right w:type="dxa" w:w="100"/>
            </w:tcMar>
          </w:tcPr>
          <w:p>
            <w:r>
              <w:rPr>
                <w:sz w:val="19"/>
                <w:szCs w:val="19"/>
              </w:rPr>
              <w:t xml:space="preserve">REWRITE — swap sentence-transformers for OpenAI text-embedding-3-small</w:t>
            </w:r>
          </w:p>
        </w:tc>
      </w:tr>
      <w:tr>
        <w:tc>
          <w:tcPr>
            <w:tcW w:type="dxa" w:w="1700"/>
            <w:tcMar>
              <w:top w:type="dxa" w:w="80"/>
              <w:left w:type="dxa" w:w="100"/>
              <w:bottom w:type="dxa" w:w="80"/>
              <w:right w:type="dxa" w:w="100"/>
            </w:tcMar>
          </w:tcPr>
          <w:p>
            <w:r>
              <w:rPr>
                <w:sz w:val="19"/>
                <w:szCs w:val="19"/>
              </w:rPr>
              <w:t xml:space="preserve">Baseline LLM call</w:t>
            </w:r>
          </w:p>
        </w:tc>
        <w:tc>
          <w:tcPr>
            <w:tcW w:type="dxa" w:w="1700"/>
            <w:tcMar>
              <w:top w:type="dxa" w:w="80"/>
              <w:left w:type="dxa" w:w="100"/>
              <w:bottom w:type="dxa" w:w="80"/>
              <w:right w:type="dxa" w:w="100"/>
            </w:tcMar>
          </w:tcPr>
          <w:p>
            <w:r>
              <w:rPr>
                <w:sz w:val="19"/>
                <w:szCs w:val="19"/>
              </w:rPr>
              <w:t xml:space="preserve">rag-chunking-lab (pattern)</w:t>
            </w:r>
          </w:p>
        </w:tc>
        <w:tc>
          <w:tcPr>
            <w:tcW w:type="dxa" w:w="2200"/>
            <w:tcMar>
              <w:top w:type="dxa" w:w="80"/>
              <w:left w:type="dxa" w:w="100"/>
              <w:bottom w:type="dxa" w:w="80"/>
              <w:right w:type="dxa" w:w="100"/>
            </w:tcMar>
          </w:tcPr>
          <w:p>
            <w:r>
              <w:rPr>
                <w:sz w:val="19"/>
                <w:szCs w:val="19"/>
              </w:rPr>
              <w:t xml:space="preserve">shared/llm.py, rag/pipeline.py</w:t>
            </w:r>
          </w:p>
        </w:tc>
        <w:tc>
          <w:tcPr>
            <w:tcW w:type="dxa" w:w="3800"/>
            <w:tcMar>
              <w:top w:type="dxa" w:w="80"/>
              <w:left w:type="dxa" w:w="100"/>
              <w:bottom w:type="dxa" w:w="80"/>
              <w:right w:type="dxa" w:w="100"/>
            </w:tcMar>
          </w:tcPr>
          <w:p>
            <w:r>
              <w:rPr>
                <w:sz w:val="19"/>
                <w:szCs w:val="19"/>
              </w:rPr>
              <w:t xml:space="preserve">REWRITE — swap Anthropic for OpenAI; keep system/user split</w:t>
            </w:r>
          </w:p>
        </w:tc>
      </w:tr>
      <w:tr>
        <w:tc>
          <w:tcPr>
            <w:tcW w:type="dxa" w:w="1700"/>
            <w:tcMar>
              <w:top w:type="dxa" w:w="80"/>
              <w:left w:type="dxa" w:w="100"/>
              <w:bottom w:type="dxa" w:w="80"/>
              <w:right w:type="dxa" w:w="100"/>
            </w:tcMar>
          </w:tcPr>
          <w:p>
            <w:r>
              <w:rPr>
                <w:sz w:val="19"/>
                <w:szCs w:val="19"/>
              </w:rPr>
              <w:t xml:space="preserve">Hybrid retrieval</w:t>
            </w:r>
          </w:p>
        </w:tc>
        <w:tc>
          <w:tcPr>
            <w:tcW w:type="dxa" w:w="1700"/>
            <w:tcMar>
              <w:top w:type="dxa" w:w="80"/>
              <w:left w:type="dxa" w:w="100"/>
              <w:bottom w:type="dxa" w:w="80"/>
              <w:right w:type="dxa" w:w="100"/>
            </w:tcMar>
          </w:tcPr>
          <w:p>
            <w:r>
              <w:rPr>
                <w:sz w:val="19"/>
                <w:szCs w:val="19"/>
              </w:rPr>
              <w:t xml:space="preserve">rag-chunking-lab</w:t>
            </w:r>
          </w:p>
        </w:tc>
        <w:tc>
          <w:tcPr>
            <w:tcW w:type="dxa" w:w="2200"/>
            <w:tcMar>
              <w:top w:type="dxa" w:w="80"/>
              <w:left w:type="dxa" w:w="100"/>
              <w:bottom w:type="dxa" w:w="80"/>
              <w:right w:type="dxa" w:w="100"/>
            </w:tcMar>
          </w:tcPr>
          <w:p>
            <w:r>
              <w:rPr>
                <w:sz w:val="19"/>
                <w:szCs w:val="19"/>
              </w:rPr>
              <w:t xml:space="preserve">retrieval/hybrid.py, bm25_search.py</w:t>
            </w:r>
          </w:p>
        </w:tc>
        <w:tc>
          <w:tcPr>
            <w:tcW w:type="dxa" w:w="3800"/>
            <w:tcMar>
              <w:top w:type="dxa" w:w="80"/>
              <w:left w:type="dxa" w:w="100"/>
              <w:bottom w:type="dxa" w:w="80"/>
              <w:right w:type="dxa" w:w="100"/>
            </w:tcMar>
          </w:tcPr>
          <w:p>
            <w:r>
              <w:rPr>
                <w:sz w:val="19"/>
                <w:szCs w:val="19"/>
              </w:rPr>
              <w:t xml:space="preserve">defer past MVP — plain ChromaStore.search() is enough for v1</w:t>
            </w:r>
          </w:p>
        </w:tc>
      </w:tr>
      <w:tr>
        <w:tc>
          <w:tcPr>
            <w:tcW w:type="dxa" w:w="1700"/>
            <w:tcMar>
              <w:top w:type="dxa" w:w="80"/>
              <w:left w:type="dxa" w:w="100"/>
              <w:bottom w:type="dxa" w:w="80"/>
              <w:right w:type="dxa" w:w="100"/>
            </w:tcMar>
          </w:tcPr>
          <w:p>
            <w:r>
              <w:rPr>
                <w:sz w:val="19"/>
                <w:szCs w:val="19"/>
              </w:rPr>
              <w:t xml:space="preserve">Agent loop</w:t>
            </w:r>
          </w:p>
        </w:tc>
        <w:tc>
          <w:tcPr>
            <w:tcW w:type="dxa" w:w="1700"/>
            <w:tcMar>
              <w:top w:type="dxa" w:w="80"/>
              <w:left w:type="dxa" w:w="100"/>
              <w:bottom w:type="dxa" w:w="80"/>
              <w:right w:type="dxa" w:w="100"/>
            </w:tcMar>
          </w:tcPr>
          <w:p>
            <w:r>
              <w:rPr>
                <w:sz w:val="19"/>
                <w:szCs w:val="19"/>
              </w:rPr>
              <w:t xml:space="preserve">single-agent-lab</w:t>
            </w:r>
          </w:p>
        </w:tc>
        <w:tc>
          <w:tcPr>
            <w:tcW w:type="dxa" w:w="2200"/>
            <w:tcMar>
              <w:top w:type="dxa" w:w="80"/>
              <w:left w:type="dxa" w:w="100"/>
              <w:bottom w:type="dxa" w:w="80"/>
              <w:right w:type="dxa" w:w="100"/>
            </w:tcMar>
          </w:tcPr>
          <w:p>
            <w:r>
              <w:rPr>
                <w:sz w:val="19"/>
                <w:szCs w:val="19"/>
              </w:rPr>
              <w:t xml:space="preserve">agent.py</w:t>
            </w:r>
          </w:p>
        </w:tc>
        <w:tc>
          <w:tcPr>
            <w:tcW w:type="dxa" w:w="3800"/>
            <w:tcMar>
              <w:top w:type="dxa" w:w="80"/>
              <w:left w:type="dxa" w:w="100"/>
              <w:bottom w:type="dxa" w:w="80"/>
              <w:right w:type="dxa" w:w="100"/>
            </w:tcMar>
          </w:tcPr>
          <w:p>
            <w:r>
              <w:rPr>
                <w:sz w:val="19"/>
                <w:szCs w:val="19"/>
              </w:rPr>
              <w:t xml:space="preserve">reuse structure — Agent(), tool_plain, output_type=[A,B], UsageLimits</w:t>
            </w:r>
          </w:p>
        </w:tc>
      </w:tr>
      <w:tr>
        <w:tc>
          <w:tcPr>
            <w:tcW w:type="dxa" w:w="1700"/>
            <w:tcMar>
              <w:top w:type="dxa" w:w="80"/>
              <w:left w:type="dxa" w:w="100"/>
              <w:bottom w:type="dxa" w:w="80"/>
              <w:right w:type="dxa" w:w="100"/>
            </w:tcMar>
          </w:tcPr>
          <w:p>
            <w:r>
              <w:rPr>
                <w:sz w:val="19"/>
                <w:szCs w:val="19"/>
              </w:rPr>
              <w:t xml:space="preserve">Typed output shape</w:t>
            </w:r>
          </w:p>
        </w:tc>
        <w:tc>
          <w:tcPr>
            <w:tcW w:type="dxa" w:w="1700"/>
            <w:tcMar>
              <w:top w:type="dxa" w:w="80"/>
              <w:left w:type="dxa" w:w="100"/>
              <w:bottom w:type="dxa" w:w="80"/>
              <w:right w:type="dxa" w:w="100"/>
            </w:tcMar>
          </w:tcPr>
          <w:p>
            <w:r>
              <w:rPr>
                <w:sz w:val="19"/>
                <w:szCs w:val="19"/>
              </w:rPr>
              <w:t xml:space="preserve">single-agent-lab</w:t>
            </w:r>
          </w:p>
        </w:tc>
        <w:tc>
          <w:tcPr>
            <w:tcW w:type="dxa" w:w="2200"/>
            <w:tcMar>
              <w:top w:type="dxa" w:w="80"/>
              <w:left w:type="dxa" w:w="100"/>
              <w:bottom w:type="dxa" w:w="80"/>
              <w:right w:type="dxa" w:w="100"/>
            </w:tcMar>
          </w:tcPr>
          <w:p>
            <w:r>
              <w:rPr>
                <w:sz w:val="19"/>
                <w:szCs w:val="19"/>
              </w:rPr>
              <w:t xml:space="preserve">schemas.py</w:t>
            </w:r>
          </w:p>
        </w:tc>
        <w:tc>
          <w:tcPr>
            <w:tcW w:type="dxa" w:w="3800"/>
            <w:tcMar>
              <w:top w:type="dxa" w:w="80"/>
              <w:left w:type="dxa" w:w="100"/>
              <w:bottom w:type="dxa" w:w="80"/>
              <w:right w:type="dxa" w:w="100"/>
            </w:tcMar>
          </w:tcPr>
          <w:p>
            <w:r>
              <w:rPr>
                <w:sz w:val="19"/>
                <w:szCs w:val="19"/>
              </w:rPr>
              <w:t xml:space="preserve">reuse pattern, new fields</w:t>
            </w:r>
          </w:p>
        </w:tc>
      </w:tr>
      <w:tr>
        <w:tc>
          <w:tcPr>
            <w:tcW w:type="dxa" w:w="1700"/>
            <w:tcMar>
              <w:top w:type="dxa" w:w="80"/>
              <w:left w:type="dxa" w:w="100"/>
              <w:bottom w:type="dxa" w:w="80"/>
              <w:right w:type="dxa" w:w="100"/>
            </w:tcMar>
          </w:tcPr>
          <w:p>
            <w:r>
              <w:rPr>
                <w:sz w:val="19"/>
                <w:szCs w:val="19"/>
              </w:rPr>
              <w:t xml:space="preserve">Web search tool</w:t>
            </w:r>
          </w:p>
        </w:tc>
        <w:tc>
          <w:tcPr>
            <w:tcW w:type="dxa" w:w="1700"/>
            <w:tcMar>
              <w:top w:type="dxa" w:w="80"/>
              <w:left w:type="dxa" w:w="100"/>
              <w:bottom w:type="dxa" w:w="80"/>
              <w:right w:type="dxa" w:w="100"/>
            </w:tcMar>
          </w:tcPr>
          <w:p>
            <w:r>
              <w:rPr>
                <w:sz w:val="19"/>
                <w:szCs w:val="19"/>
              </w:rPr>
              <w:t xml:space="preserve">single-agent-lab</w:t>
            </w:r>
          </w:p>
        </w:tc>
        <w:tc>
          <w:tcPr>
            <w:tcW w:type="dxa" w:w="2200"/>
            <w:tcMar>
              <w:top w:type="dxa" w:w="80"/>
              <w:left w:type="dxa" w:w="100"/>
              <w:bottom w:type="dxa" w:w="80"/>
              <w:right w:type="dxa" w:w="100"/>
            </w:tcMar>
          </w:tcPr>
          <w:p>
            <w:r>
              <w:rPr>
                <w:sz w:val="19"/>
                <w:szCs w:val="19"/>
              </w:rPr>
              <w:t xml:space="preserve">tools/web_search.py</w:t>
            </w:r>
          </w:p>
        </w:tc>
        <w:tc>
          <w:tcPr>
            <w:tcW w:type="dxa" w:w="3800"/>
            <w:tcMar>
              <w:top w:type="dxa" w:w="80"/>
              <w:left w:type="dxa" w:w="100"/>
              <w:bottom w:type="dxa" w:w="80"/>
              <w:right w:type="dxa" w:w="100"/>
            </w:tcMar>
          </w:tcPr>
          <w:p>
            <w:r>
              <w:rPr>
                <w:sz w:val="19"/>
                <w:szCs w:val="19"/>
              </w:rPr>
              <w:t xml:space="preserve">reuse as-is (DuckDuckGo, keyless)</w:t>
            </w:r>
          </w:p>
        </w:tc>
      </w:tr>
      <w:tr>
        <w:tc>
          <w:tcPr>
            <w:tcW w:type="dxa" w:w="1700"/>
            <w:tcMar>
              <w:top w:type="dxa" w:w="80"/>
              <w:left w:type="dxa" w:w="100"/>
              <w:bottom w:type="dxa" w:w="80"/>
              <w:right w:type="dxa" w:w="100"/>
            </w:tcMar>
          </w:tcPr>
          <w:p>
            <w:r>
              <w:rPr>
                <w:sz w:val="19"/>
                <w:szCs w:val="19"/>
              </w:rPr>
              <w:t xml:space="preserve">Tracing</w:t>
            </w:r>
          </w:p>
        </w:tc>
        <w:tc>
          <w:tcPr>
            <w:tcW w:type="dxa" w:w="1700"/>
            <w:tcMar>
              <w:top w:type="dxa" w:w="80"/>
              <w:left w:type="dxa" w:w="100"/>
              <w:bottom w:type="dxa" w:w="80"/>
              <w:right w:type="dxa" w:w="100"/>
            </w:tcMar>
          </w:tcPr>
          <w:p>
            <w:r>
              <w:rPr>
                <w:sz w:val="19"/>
                <w:szCs w:val="19"/>
              </w:rPr>
              <w:t xml:space="preserve">single-agent-lab</w:t>
            </w:r>
          </w:p>
        </w:tc>
        <w:tc>
          <w:tcPr>
            <w:tcW w:type="dxa" w:w="2200"/>
            <w:tcMar>
              <w:top w:type="dxa" w:w="80"/>
              <w:left w:type="dxa" w:w="100"/>
              <w:bottom w:type="dxa" w:w="80"/>
              <w:right w:type="dxa" w:w="100"/>
            </w:tcMar>
          </w:tcPr>
          <w:p>
            <w:r>
              <w:rPr>
                <w:sz w:val="19"/>
                <w:szCs w:val="19"/>
              </w:rPr>
              <w:t xml:space="preserve">trace.py</w:t>
            </w:r>
          </w:p>
        </w:tc>
        <w:tc>
          <w:tcPr>
            <w:tcW w:type="dxa" w:w="3800"/>
            <w:tcMar>
              <w:top w:type="dxa" w:w="80"/>
              <w:left w:type="dxa" w:w="100"/>
              <w:bottom w:type="dxa" w:w="80"/>
              <w:right w:type="dxa" w:w="100"/>
            </w:tcMar>
          </w:tcPr>
          <w:p>
            <w:r>
              <w:rPr>
                <w:sz w:val="19"/>
                <w:szCs w:val="19"/>
              </w:rPr>
              <w:t xml:space="preserve">reuse as-is, only tool names change</w:t>
            </w:r>
          </w:p>
        </w:tc>
      </w:tr>
      <w:tr>
        <w:tc>
          <w:tcPr>
            <w:tcW w:type="dxa" w:w="1700"/>
            <w:tcMar>
              <w:top w:type="dxa" w:w="80"/>
              <w:left w:type="dxa" w:w="100"/>
              <w:bottom w:type="dxa" w:w="80"/>
              <w:right w:type="dxa" w:w="100"/>
            </w:tcMar>
          </w:tcPr>
          <w:p>
            <w:r>
              <w:rPr>
                <w:sz w:val="19"/>
                <w:szCs w:val="19"/>
              </w:rPr>
              <w:t xml:space="preserve">UI pattern</w:t>
            </w:r>
          </w:p>
        </w:tc>
        <w:tc>
          <w:tcPr>
            <w:tcW w:type="dxa" w:w="1700"/>
            <w:tcMar>
              <w:top w:type="dxa" w:w="80"/>
              <w:left w:type="dxa" w:w="100"/>
              <w:bottom w:type="dxa" w:w="80"/>
              <w:right w:type="dxa" w:w="100"/>
            </w:tcMar>
          </w:tcPr>
          <w:p>
            <w:r>
              <w:rPr>
                <w:sz w:val="19"/>
                <w:szCs w:val="19"/>
              </w:rPr>
              <w:t xml:space="preserve">single-agent-lab</w:t>
            </w:r>
          </w:p>
        </w:tc>
        <w:tc>
          <w:tcPr>
            <w:tcW w:type="dxa" w:w="2200"/>
            <w:tcMar>
              <w:top w:type="dxa" w:w="80"/>
              <w:left w:type="dxa" w:w="100"/>
              <w:bottom w:type="dxa" w:w="80"/>
              <w:right w:type="dxa" w:w="100"/>
            </w:tcMar>
          </w:tcPr>
          <w:p>
            <w:r>
              <w:rPr>
                <w:sz w:val="19"/>
                <w:szCs w:val="19"/>
              </w:rPr>
              <w:t xml:space="preserve">app.py</w:t>
            </w:r>
          </w:p>
        </w:tc>
        <w:tc>
          <w:tcPr>
            <w:tcW w:type="dxa" w:w="3800"/>
            <w:tcMar>
              <w:top w:type="dxa" w:w="80"/>
              <w:left w:type="dxa" w:w="100"/>
              <w:bottom w:type="dxa" w:w="80"/>
              <w:right w:type="dxa" w:w="100"/>
            </w:tcMar>
          </w:tcPr>
          <w:p>
            <w:r>
              <w:rPr>
                <w:sz w:val="19"/>
                <w:szCs w:val="19"/>
              </w:rPr>
              <w:t xml:space="preserve">reference only — design doc calls for Streamlit, not Gradio</w:t>
            </w:r>
          </w:p>
        </w:tc>
      </w:tr>
      <w:tr>
        <w:tc>
          <w:tcPr>
            <w:tcW w:type="dxa" w:w="1700"/>
            <w:tcMar>
              <w:top w:type="dxa" w:w="80"/>
              <w:left w:type="dxa" w:w="100"/>
              <w:bottom w:type="dxa" w:w="80"/>
              <w:right w:type="dxa" w:w="100"/>
            </w:tcMar>
          </w:tcPr>
          <w:p>
            <w:r>
              <w:rPr>
                <w:sz w:val="19"/>
                <w:szCs w:val="19"/>
              </w:rPr>
              <w:t xml:space="preserve">Eval harness</w:t>
            </w:r>
          </w:p>
        </w:tc>
        <w:tc>
          <w:tcPr>
            <w:tcW w:type="dxa" w:w="1700"/>
            <w:tcMar>
              <w:top w:type="dxa" w:w="80"/>
              <w:left w:type="dxa" w:w="100"/>
              <w:bottom w:type="dxa" w:w="80"/>
              <w:right w:type="dxa" w:w="100"/>
            </w:tcMar>
          </w:tcPr>
          <w:p>
            <w:r>
              <w:rPr>
                <w:sz w:val="19"/>
                <w:szCs w:val="19"/>
              </w:rPr>
              <w:t xml:space="preserve">rag-chunking-lab</w:t>
            </w:r>
          </w:p>
        </w:tc>
        <w:tc>
          <w:tcPr>
            <w:tcW w:type="dxa" w:w="2200"/>
            <w:tcMar>
              <w:top w:type="dxa" w:w="80"/>
              <w:left w:type="dxa" w:w="100"/>
              <w:bottom w:type="dxa" w:w="80"/>
              <w:right w:type="dxa" w:w="100"/>
            </w:tcMar>
          </w:tcPr>
          <w:p>
            <w:r>
              <w:rPr>
                <w:sz w:val="19"/>
                <w:szCs w:val="19"/>
              </w:rPr>
              <w:t xml:space="preserve">eval/metrics.py</w:t>
            </w:r>
          </w:p>
        </w:tc>
        <w:tc>
          <w:tcPr>
            <w:tcW w:type="dxa" w:w="3800"/>
            <w:tcMar>
              <w:top w:type="dxa" w:w="80"/>
              <w:left w:type="dxa" w:w="100"/>
              <w:bottom w:type="dxa" w:w="80"/>
              <w:right w:type="dxa" w:w="100"/>
            </w:tcMar>
          </w:tcPr>
          <w:p>
            <w:r>
              <w:rPr>
                <w:sz w:val="19"/>
                <w:szCs w:val="19"/>
              </w:rPr>
              <w:t xml:space="preserve">adapt — swap recall@k for eligibility/citation accuracy</w:t>
            </w:r>
          </w:p>
        </w:tc>
      </w:tr>
    </w:tbl>
    <w:p>
      <w:pPr>
        <w:pStyle w:val="Heading1"/>
        <w:spacing w:after="120" w:before="280"/>
      </w:pPr>
      <w:r>
        <w:rPr>
          <w:b/>
          <w:bCs/>
          <w:color w:val="2e74b5"/>
          <w:sz w:val="30"/>
          <w:szCs w:val="30"/>
        </w:rPr>
        <w:t xml:space="preserve">Concepts — what each piece actually teaches</w:t>
      </w:r>
    </w:p>
    <w:p>
      <w:pPr>
        <w:spacing w:after="120" w:line="264"/>
      </w:pPr>
      <w:r>
        <w:rPr>
          <w:sz w:val="20"/>
          <w:szCs w:val="20"/>
        </w:rPr>
        <w:t xml:space="preserve">This is the part worth reading slowly. Everything below is a real mechanism used in the code you're about to adapt, not a generic explainer — each one names the file it lives in.</w:t>
      </w:r>
    </w:p>
    <w:p>
      <w:pPr>
        <w:pStyle w:val="Heading2"/>
        <w:spacing w:after="100" w:before="200"/>
      </w:pPr>
      <w:r>
        <w:rPr>
          <w:b/>
          <w:bCs/>
          <w:color w:val="2e74b5"/>
          <w:sz w:val="24"/>
          <w:szCs w:val="24"/>
        </w:rPr>
        <w:t xml:space="preserve">Ingestion &amp; retrieval (phase 1)</w:t>
      </w:r>
    </w:p>
    <w:p>
      <w:pPr>
        <w:spacing w:after="160" w:line="264"/>
      </w:pPr>
      <w:r>
        <w:rPr>
          <w:b/>
          <w:bCs/>
          <w:sz w:val="20"/>
          <w:szCs w:val="20"/>
        </w:rPr>
        <w:t xml:space="preserve">Chunking strategies</w:t>
      </w:r>
      <w:r>
        <w:rPr>
          <w:sz w:val="20"/>
          <w:szCs w:val="20"/>
        </w:rPr>
        <w:t xml:space="preserve"> — </w:t>
      </w:r>
      <w:r>
        <w:rPr>
          <w:rFonts w:ascii="Consolas" w:cs="Consolas" w:eastAsia="Consolas" w:hAnsi="Consolas"/>
          <w:sz w:val="19"/>
          <w:szCs w:val="19"/>
        </w:rPr>
        <w:t xml:space="preserve">chunking/section_wise.py, chunking/recursive.py</w:t>
      </w:r>
      <w:r>
        <w:rPr>
          <w:sz w:val="20"/>
          <w:szCs w:val="20"/>
        </w:rPr>
        <w:t xml:space="preserve">. </w:t>
      </w:r>
      <w:r>
        <w:rPr>
          <w:sz w:val="20"/>
          <w:szCs w:val="20"/>
        </w:rPr>
        <w:t xml:space="preserve">A chunker breaks a document into pieces small enough to embed and retrieve individually. Recursive splitting tries coarse separators first (paragraph → line → space → character) and backs off to finer ones only when a piece is still too big — it guarantees a size limit but knows nothing about meaning. Section-wise chunking instead finds structural headers (regex-matched: “Abstract,” “Eligibility,” “Income Limits”) and keeps each section whole, only re-splitting if a section runs long. GrantMatch uses section-wise because a rule doc split mid-clause loses the exact fact you'd need to cite — this is RAG_LESSONS.md lesson #1, discovered when a paper's Abstract got cut in half and neither half made sense alone.</w:t>
      </w:r>
    </w:p>
    <w:p>
      <w:pPr>
        <w:spacing w:after="160" w:line="264"/>
      </w:pPr>
      <w:r>
        <w:rPr>
          <w:b/>
          <w:bCs/>
          <w:sz w:val="20"/>
          <w:szCs w:val="20"/>
        </w:rPr>
        <w:t xml:space="preserve">Embeddings</w:t>
      </w:r>
      <w:r>
        <w:rPr>
          <w:sz w:val="20"/>
          <w:szCs w:val="20"/>
        </w:rPr>
        <w:t xml:space="preserve"> — </w:t>
      </w:r>
      <w:r>
        <w:rPr>
          <w:rFonts w:ascii="Consolas" w:cs="Consolas" w:eastAsia="Consolas" w:hAnsi="Consolas"/>
          <w:sz w:val="19"/>
          <w:szCs w:val="19"/>
        </w:rPr>
        <w:t xml:space="preserve">shared/embedder.py</w:t>
      </w:r>
      <w:r>
        <w:rPr>
          <w:sz w:val="20"/>
          <w:szCs w:val="20"/>
        </w:rPr>
        <w:t xml:space="preserve">. </w:t>
      </w:r>
      <w:r>
        <w:rPr>
          <w:sz w:val="20"/>
          <w:szCs w:val="20"/>
        </w:rPr>
        <w:t xml:space="preserve">An embedding turns text into a vector positioned so that semantically similar text ends up close together, measured by cosine similarity. Model size matters: rag-chunking-lab found that switching from a 384-dimension model to a 768-dimension one fixed a real failure — the query “LLM as a judge” wasn't matching a paper's actual phrasing (“prompting an LLM to...”) at 384d, but did at 768d. GrantMatch uses OpenAI's text-embedding-3-small instead of a local sentence-transformers model — same concept, hosted API instead of local inference.</w:t>
      </w:r>
    </w:p>
    <w:p>
      <w:pPr>
        <w:spacing w:after="160" w:line="264"/>
      </w:pPr>
      <w:r>
        <w:rPr>
          <w:b/>
          <w:bCs/>
          <w:sz w:val="20"/>
          <w:szCs w:val="20"/>
        </w:rPr>
        <w:t xml:space="preserve">Vector search / HNSW</w:t>
      </w:r>
      <w:r>
        <w:rPr>
          <w:sz w:val="20"/>
          <w:szCs w:val="20"/>
        </w:rPr>
        <w:t xml:space="preserve"> — </w:t>
      </w:r>
      <w:r>
        <w:rPr>
          <w:rFonts w:ascii="Consolas" w:cs="Consolas" w:eastAsia="Consolas" w:hAnsi="Consolas"/>
          <w:sz w:val="19"/>
          <w:szCs w:val="19"/>
        </w:rPr>
        <w:t xml:space="preserve">vectordb/chroma_store.py</w:t>
      </w:r>
      <w:r>
        <w:rPr>
          <w:sz w:val="20"/>
          <w:szCs w:val="20"/>
        </w:rPr>
        <w:t xml:space="preserve">. </w:t>
      </w:r>
      <w:r>
        <w:rPr>
          <w:sz w:val="20"/>
          <w:szCs w:val="20"/>
        </w:rPr>
        <w:t xml:space="preserve">Once every chunk is a vector, retrieval means finding the k vectors closest to the query's vector. ChromaDB does this with HNSW (Hierarchical Navigable Small World) — a multi-layer graph where each vector links to its nearest neighbors, giving roughly O(log n) approximate search instead of comparing against every vector one by one. At GrantMatch's scale (a few hundred chunks from 10 programs) brute-force search would be just as fast — HNSW only starts winning past ~100K vectors — but the API is identical either way.</w:t>
      </w:r>
    </w:p>
    <w:p>
      <w:pPr>
        <w:spacing w:after="160" w:line="264"/>
      </w:pPr>
      <w:r>
        <w:rPr>
          <w:b/>
          <w:bCs/>
          <w:sz w:val="20"/>
          <w:szCs w:val="20"/>
        </w:rPr>
        <w:t xml:space="preserve">Hybrid retrieval &amp; query rewriting</w:t>
      </w:r>
      <w:r>
        <w:rPr>
          <w:sz w:val="20"/>
          <w:szCs w:val="20"/>
        </w:rPr>
        <w:t xml:space="preserve"> — </w:t>
      </w:r>
      <w:r>
        <w:rPr>
          <w:rFonts w:ascii="Consolas" w:cs="Consolas" w:eastAsia="Consolas" w:hAnsi="Consolas"/>
          <w:sz w:val="19"/>
          <w:szCs w:val="19"/>
        </w:rPr>
        <w:t xml:space="preserve">retrieval/hybrid.py, query_rewriter.py (deferred)</w:t>
      </w:r>
      <w:r>
        <w:rPr>
          <w:sz w:val="20"/>
          <w:szCs w:val="20"/>
        </w:rPr>
        <w:t xml:space="preserve">. </w:t>
      </w:r>
      <w:r>
        <w:rPr>
          <w:sz w:val="20"/>
          <w:szCs w:val="20"/>
        </w:rPr>
        <w:t xml:space="preserve">Dense (embedding) search understands meaning but can miss exact keywords; BM25 sparse search is the reverse. Hybrid search runs both and merges the ranked lists with Reciprocal Rank Fusion. Query rewriting (HyDE, RAG-Fusion) goes further and has an LLM reformulate the query before embedding it, to bridge the gap between how a student phrases a question and how a rule document phrases the same fact. Worth knowing, not needed to prove the MVP works.</w:t>
      </w:r>
    </w:p>
    <w:p>
      <w:pPr>
        <w:spacing w:after="160" w:line="264"/>
      </w:pPr>
      <w:r>
        <w:rPr>
          <w:b/>
          <w:bCs/>
          <w:sz w:val="20"/>
          <w:szCs w:val="20"/>
        </w:rPr>
        <w:t xml:space="preserve">Prompt injection defense</w:t>
      </w:r>
      <w:r>
        <w:rPr>
          <w:sz w:val="20"/>
          <w:szCs w:val="20"/>
        </w:rPr>
        <w:t xml:space="preserve"> — </w:t>
      </w:r>
      <w:r>
        <w:rPr>
          <w:rFonts w:ascii="Consolas" w:cs="Consolas" w:eastAsia="Consolas" w:hAnsi="Consolas"/>
          <w:sz w:val="19"/>
          <w:szCs w:val="19"/>
        </w:rPr>
        <w:t xml:space="preserve">shared/llm.py pattern</w:t>
      </w:r>
      <w:r>
        <w:rPr>
          <w:sz w:val="20"/>
          <w:szCs w:val="20"/>
        </w:rPr>
        <w:t xml:space="preserve">. </w:t>
      </w:r>
      <w:r>
        <w:rPr>
          <w:sz w:val="20"/>
          <w:szCs w:val="20"/>
        </w:rPr>
        <w:t xml:space="preserve">If a retrieved chunk contains something that reads like an instruction, an LLM can follow it instead of answering the user — this happened for real in rag-chunking-lab (RAG_LESSONS.md #4), where a paper's own quoted methodology text made the model respond “Insufficient Information” to a normal question. The fix is structural: instructions go in the system message, retrieved content goes in the user message, with explicit framing that it's source material, not instructions to obey.</w:t>
      </w:r>
    </w:p>
    <w:p>
      <w:pPr>
        <w:pStyle w:val="Heading2"/>
        <w:spacing w:after="100" w:before="200"/>
      </w:pPr>
      <w:r>
        <w:rPr>
          <w:b/>
          <w:bCs/>
          <w:color w:val="2e74b5"/>
          <w:sz w:val="24"/>
          <w:szCs w:val="24"/>
        </w:rPr>
        <w:t xml:space="preserve">Agent loop (phase 2)</w:t>
      </w:r>
    </w:p>
    <w:p>
      <w:pPr>
        <w:spacing w:after="160" w:line="264"/>
      </w:pPr>
      <w:r>
        <w:rPr>
          <w:b/>
          <w:bCs/>
          <w:sz w:val="20"/>
          <w:szCs w:val="20"/>
        </w:rPr>
        <w:t xml:space="preserve">ReAct loop</w:t>
      </w:r>
      <w:r>
        <w:rPr>
          <w:sz w:val="20"/>
          <w:szCs w:val="20"/>
        </w:rPr>
        <w:t xml:space="preserve"> — </w:t>
      </w:r>
      <w:r>
        <w:rPr>
          <w:rFonts w:ascii="Consolas" w:cs="Consolas" w:eastAsia="Consolas" w:hAnsi="Consolas"/>
          <w:sz w:val="19"/>
          <w:szCs w:val="19"/>
        </w:rPr>
        <w:t xml:space="preserve">single-agent-lab/agent.py, trace.py</w:t>
      </w:r>
      <w:r>
        <w:rPr>
          <w:sz w:val="20"/>
          <w:szCs w:val="20"/>
        </w:rPr>
        <w:t xml:space="preserve">. </w:t>
      </w:r>
      <w:r>
        <w:rPr>
          <w:sz w:val="20"/>
          <w:szCs w:val="20"/>
        </w:rPr>
        <w:t xml:space="preserve">“agent = LLM + tools + loop.” Pydantic AI's Agent runs a Thought → Action → Observation cycle: the model reasons about what it needs, calls a tool, reads the real result, and either loops again or produces a final answer. Same shape whether the domain is travel briefings or scholarship eligibility — only the tools and system prompt change.</w:t>
      </w:r>
    </w:p>
    <w:p>
      <w:pPr>
        <w:spacing w:after="160" w:line="264"/>
      </w:pPr>
      <w:r>
        <w:rPr>
          <w:b/>
          <w:bCs/>
          <w:sz w:val="20"/>
          <w:szCs w:val="20"/>
        </w:rPr>
        <w:t xml:space="preserve">Typed outputs &amp; validation</w:t>
      </w:r>
      <w:r>
        <w:rPr>
          <w:sz w:val="20"/>
          <w:szCs w:val="20"/>
        </w:rPr>
        <w:t xml:space="preserve"> — </w:t>
      </w:r>
      <w:r>
        <w:rPr>
          <w:rFonts w:ascii="Consolas" w:cs="Consolas" w:eastAsia="Consolas" w:hAnsi="Consolas"/>
          <w:sz w:val="19"/>
          <w:szCs w:val="19"/>
        </w:rPr>
        <w:t xml:space="preserve">schemas.py</w:t>
      </w:r>
      <w:r>
        <w:rPr>
          <w:sz w:val="20"/>
          <w:szCs w:val="20"/>
        </w:rPr>
        <w:t xml:space="preserve">. </w:t>
      </w:r>
      <w:r>
        <w:rPr>
          <w:sz w:val="20"/>
          <w:szCs w:val="20"/>
        </w:rPr>
        <w:t xml:space="preserve">Every tool's arguments and the agent's final answer are Pydantic models, so JSON Schema alone rejects malformed output before your code runs — that's schema validation. Business-logic validation (syntactically valid but wrong, like a briefing with no destination) is caught separately with @agent.output_validator, which raises ModelRetry to send the model back around the loop with the specific reason. GrantMatch's version: output_type=[EligibilityAnswer, NeedMoreInfo], mirroring single-agent-lab's TravelBriefing/NeedMoreInfo union — succeed with a grounded answer, or admit you can't.</w:t>
      </w:r>
    </w:p>
    <w:p>
      <w:pPr>
        <w:spacing w:after="160" w:line="264"/>
      </w:pPr>
      <w:r>
        <w:rPr>
          <w:b/>
          <w:bCs/>
          <w:sz w:val="20"/>
          <w:szCs w:val="20"/>
        </w:rPr>
        <w:t xml:space="preserve">Tool design &amp; dependent chains</w:t>
      </w:r>
      <w:r>
        <w:rPr>
          <w:sz w:val="20"/>
          <w:szCs w:val="20"/>
        </w:rPr>
        <w:t xml:space="preserve"> — </w:t>
      </w:r>
      <w:r>
        <w:rPr>
          <w:rFonts w:ascii="Consolas" w:cs="Consolas" w:eastAsia="Consolas" w:hAnsi="Consolas"/>
          <w:sz w:val="19"/>
          <w:szCs w:val="19"/>
        </w:rPr>
        <w:t xml:space="preserve">tools/geocode.py → get_forecast pattern</w:t>
      </w:r>
      <w:r>
        <w:rPr>
          <w:sz w:val="20"/>
          <w:szCs w:val="20"/>
        </w:rPr>
        <w:t xml:space="preserve">. </w:t>
      </w:r>
      <w:r>
        <w:rPr>
          <w:sz w:val="20"/>
          <w:szCs w:val="20"/>
        </w:rPr>
        <w:t xml:space="preserve">The clean example in single-agent-lab: get_forecast needs coordinates, and the model cannot invent them from memory, so it must call geocode first and feed that real result forward. That's “step N's input depends on step N-1's output,” enforced by types, not convention. GrantMatch's retriever_tool plays the same role — the agent cannot cite a clause it didn't actually retrieve.</w:t>
      </w:r>
    </w:p>
    <w:p>
      <w:pPr>
        <w:spacing w:after="160" w:line="264"/>
      </w:pPr>
      <w:r>
        <w:rPr>
          <w:b/>
          <w:bCs/>
          <w:sz w:val="20"/>
          <w:szCs w:val="20"/>
        </w:rPr>
        <w:t xml:space="preserve">Guardrails</w:t>
      </w:r>
      <w:r>
        <w:rPr>
          <w:sz w:val="20"/>
          <w:szCs w:val="20"/>
        </w:rPr>
        <w:t xml:space="preserve"> — </w:t>
      </w:r>
      <w:r>
        <w:rPr>
          <w:rFonts w:ascii="Consolas" w:cs="Consolas" w:eastAsia="Consolas" w:hAnsi="Consolas"/>
          <w:sz w:val="19"/>
          <w:szCs w:val="19"/>
        </w:rPr>
        <w:t xml:space="preserve">UsageLimits, per-tool retries</w:t>
      </w:r>
      <w:r>
        <w:rPr>
          <w:sz w:val="20"/>
          <w:szCs w:val="20"/>
        </w:rPr>
        <w:t xml:space="preserve">. </w:t>
      </w:r>
      <w:r>
        <w:rPr>
          <w:sz w:val="20"/>
          <w:szCs w:val="20"/>
        </w:rPr>
        <w:t xml:space="preserve">Two separate budgets bound the loop: UsageLimits caps total requests and tool calls for an entire run (stops a runaway request from spiraling into 40 calls), while each tool_plain(retries=N) gives that one tool its own retry budget when it raises ModelRetry or gets invalid arguments. Different failure, different counter — an agent loop without a cap can silently burn API budget.</w:t>
      </w:r>
    </w:p>
    <w:p>
      <w:pPr>
        <w:spacing w:after="160" w:line="264"/>
      </w:pPr>
      <w:r>
        <w:rPr>
          <w:b/>
          <w:bCs/>
          <w:sz w:val="20"/>
          <w:szCs w:val="20"/>
        </w:rPr>
        <w:t xml:space="preserve">Tracing / observability</w:t>
      </w:r>
      <w:r>
        <w:rPr>
          <w:sz w:val="20"/>
          <w:szCs w:val="20"/>
        </w:rPr>
        <w:t xml:space="preserve"> — </w:t>
      </w:r>
      <w:r>
        <w:rPr>
          <w:rFonts w:ascii="Consolas" w:cs="Consolas" w:eastAsia="Consolas" w:hAnsi="Consolas"/>
          <w:sz w:val="19"/>
          <w:szCs w:val="19"/>
        </w:rPr>
        <w:t xml:space="preserve">trace.py</w:t>
      </w:r>
      <w:r>
        <w:rPr>
          <w:sz w:val="20"/>
          <w:szCs w:val="20"/>
        </w:rPr>
        <w:t xml:space="preserve">. </w:t>
      </w:r>
      <w:r>
        <w:rPr>
          <w:sz w:val="20"/>
          <w:szCs w:val="20"/>
        </w:rPr>
        <w:t xml:space="preserve">Pydantic AI hands back the full message history via result.all_messages(); trace.py just walks it and labels each part (ThinkingPart → Thought, ToolCallPart → Action, ToolReturnPart → Observation) so the loop is visible instead of a black box. This is what lets you debug “why did the agent do that” instead of guessing.</w:t>
      </w:r>
    </w:p>
    <w:p>
      <w:pPr>
        <w:pStyle w:val="Heading2"/>
        <w:spacing w:after="100" w:before="200"/>
      </w:pPr>
      <w:r>
        <w:rPr>
          <w:b/>
          <w:bCs/>
          <w:color w:val="2e74b5"/>
          <w:sz w:val="24"/>
          <w:szCs w:val="24"/>
        </w:rPr>
        <w:t xml:space="preserve">Evaluation (phase 3)</w:t>
      </w:r>
    </w:p>
    <w:p>
      <w:pPr>
        <w:spacing w:after="160" w:line="264"/>
      </w:pPr>
      <w:r>
        <w:rPr>
          <w:b/>
          <w:bCs/>
          <w:sz w:val="20"/>
          <w:szCs w:val="20"/>
        </w:rPr>
        <w:t xml:space="preserve">Eval metric design</w:t>
      </w:r>
      <w:r>
        <w:rPr>
          <w:sz w:val="20"/>
          <w:szCs w:val="20"/>
        </w:rPr>
        <w:t xml:space="preserve"> — </w:t>
      </w:r>
      <w:r>
        <w:rPr>
          <w:rFonts w:ascii="Consolas" w:cs="Consolas" w:eastAsia="Consolas" w:hAnsi="Consolas"/>
          <w:sz w:val="19"/>
          <w:szCs w:val="19"/>
        </w:rPr>
        <w:t xml:space="preserve">eval/metrics.py, RAG_LESSONS.md #7</w:t>
      </w:r>
      <w:r>
        <w:rPr>
          <w:sz w:val="20"/>
          <w:szCs w:val="20"/>
        </w:rPr>
        <w:t xml:space="preserve">. </w:t>
      </w:r>
      <w:r>
        <w:rPr>
          <w:sz w:val="20"/>
          <w:szCs w:val="20"/>
        </w:rPr>
        <w:t xml:space="preserve">recall@k and MRR (mean reciprocal rank) are the standard retrieval metrics — did the right chunk come back, and how high did it rank. rag-chunking-lab's version uses substring keyword matching, which is fast but fragile (a word like “attention” matches a paper title in the References section that has nothing to do with the real answer). GrantMatch's equivalent metrics — eligibility accuracy, citation accuracy, hallucination rate — carry the same fragility risk: citation accuracy has to check the cited clause actually matches the source, not just that some keyword appears in it.</w:t>
      </w:r>
    </w:p>
    <w:p>
      <w:pPr>
        <w:pStyle w:val="Heading1"/>
        <w:spacing w:after="120" w:before="280"/>
      </w:pPr>
      <w:r>
        <w:rPr>
          <w:b/>
          <w:bCs/>
          <w:color w:val="2e74b5"/>
          <w:sz w:val="30"/>
          <w:szCs w:val="30"/>
        </w:rPr>
        <w:t xml:space="preserve">Lessons to apply directly</w:t>
      </w:r>
    </w:p>
    <w:p>
      <w:pPr>
        <w:spacing w:after="120" w:line="264"/>
      </w:pPr>
      <w:r>
        <w:rPr>
          <w:sz w:val="20"/>
          <w:szCs w:val="20"/>
        </w:rPr>
        <w:t xml:space="preserve">From </w:t>
      </w:r>
      <w:r>
        <w:rPr>
          <w:rFonts w:ascii="Consolas" w:cs="Consolas" w:eastAsia="Consolas" w:hAnsi="Consolas"/>
          <w:sz w:val="19"/>
          <w:szCs w:val="19"/>
        </w:rPr>
        <w:t xml:space="preserve">rag-chunking-lab/RAG_LESSONS.md</w:t>
      </w:r>
      <w:r>
        <w:rPr>
          <w:sz w:val="20"/>
          <w:szCs w:val="20"/>
        </w:rPr>
        <w:t xml:space="preserve">:</w:t>
      </w:r>
    </w:p>
    <w:p>
      <w:pPr>
        <w:pStyle w:val="ListParagraph"/>
        <w:numPr>
          <w:ilvl w:val="0"/>
          <w:numId w:val="1"/>
        </w:numPr>
        <w:spacing w:after="80" w:line="264"/>
      </w:pPr>
      <w:r>
        <w:rPr>
          <w:b/>
          <w:bCs/>
          <w:sz w:val="20"/>
          <w:szCs w:val="20"/>
        </w:rPr>
        <w:t xml:space="preserve">Chunk on structure, not characters. </w:t>
      </w:r>
      <w:r>
        <w:rPr>
          <w:sz w:val="20"/>
          <w:szCs w:val="20"/>
        </w:rPr>
        <w:t xml:space="preserve">A scholarship's “Income Limit” clause split in half loses its meaning — this is why section_wise.py, not recursive.py, is the default chunker here.</w:t>
      </w:r>
    </w:p>
    <w:p>
      <w:pPr>
        <w:pStyle w:val="ListParagraph"/>
        <w:numPr>
          <w:ilvl w:val="0"/>
          <w:numId w:val="1"/>
        </w:numPr>
        <w:spacing w:after="80" w:line="264"/>
      </w:pPr>
      <w:r>
        <w:rPr>
          <w:b/>
          <w:bCs/>
          <w:sz w:val="20"/>
          <w:szCs w:val="20"/>
        </w:rPr>
        <w:t xml:space="preserve">System/user message separation prevents prompt injection. </w:t>
      </w:r>
      <w:r>
        <w:rPr>
          <w:sz w:val="20"/>
          <w:szCs w:val="20"/>
        </w:rPr>
        <w:t xml:space="preserve">If a rule doc contains sample application text or quoted instructions, the model can confuse it with a real instruction. Keep context and instructions in separate message roles, with explicit framing.</w:t>
      </w:r>
    </w:p>
    <w:p>
      <w:pPr>
        <w:pStyle w:val="ListParagraph"/>
        <w:numPr>
          <w:ilvl w:val="0"/>
          <w:numId w:val="1"/>
        </w:numPr>
        <w:spacing w:after="80" w:line="264"/>
      </w:pPr>
      <w:r>
        <w:rPr>
          <w:b/>
          <w:bCs/>
          <w:sz w:val="20"/>
          <w:szCs w:val="20"/>
        </w:rPr>
        <w:t xml:space="preserve">Vector DB choice doesn't matter at this scale. </w:t>
      </w:r>
      <w:r>
        <w:rPr>
          <w:sz w:val="20"/>
          <w:szCs w:val="20"/>
        </w:rPr>
        <w:t xml:space="preserve">Don't spend MVP time comparing stores — Chroma is fine.</w:t>
      </w:r>
    </w:p>
    <w:p>
      <w:pPr>
        <w:pStyle w:val="ListParagraph"/>
        <w:numPr>
          <w:ilvl w:val="0"/>
          <w:numId w:val="1"/>
        </w:numPr>
        <w:spacing w:after="80" w:line="264"/>
      </w:pPr>
      <w:r>
        <w:rPr>
          <w:b/>
          <w:bCs/>
          <w:sz w:val="20"/>
          <w:szCs w:val="20"/>
        </w:rPr>
        <w:t xml:space="preserve">Don't cheap out on the generation model. </w:t>
      </w:r>
      <w:r>
        <w:rPr>
          <w:sz w:val="20"/>
          <w:szCs w:val="20"/>
        </w:rPr>
        <w:t xml:space="preserve">A weak model gives up on dense, clause-heavy text. Use a solid OpenAI model for the eligibility reasoning step.</w:t>
      </w:r>
    </w:p>
    <w:p>
      <w:pPr>
        <w:pStyle w:val="ListParagraph"/>
        <w:numPr>
          <w:ilvl w:val="0"/>
          <w:numId w:val="1"/>
        </w:numPr>
        <w:spacing w:after="80" w:line="264"/>
      </w:pPr>
      <w:r>
        <w:rPr>
          <w:b/>
          <w:bCs/>
          <w:sz w:val="20"/>
          <w:szCs w:val="20"/>
        </w:rPr>
        <w:t xml:space="preserve">Keyword-substring eval metrics are fragile. </w:t>
      </w:r>
      <w:r>
        <w:rPr>
          <w:sz w:val="20"/>
          <w:szCs w:val="20"/>
        </w:rPr>
        <w:t xml:space="preserve">For citation accuracy, check the cited clause actually matches the source text — don't just check a keyword is present.</w:t>
      </w:r>
    </w:p>
    <w:p>
      <w:pPr>
        <w:pStyle w:val="ListParagraph"/>
        <w:numPr>
          <w:ilvl w:val="0"/>
          <w:numId w:val="1"/>
        </w:numPr>
        <w:spacing w:after="80" w:line="264"/>
      </w:pPr>
      <w:r>
        <w:rPr>
          <w:b/>
          <w:bCs/>
          <w:sz w:val="20"/>
          <w:szCs w:val="20"/>
        </w:rPr>
        <w:t xml:space="preserve">Know your embedding model's context limit </w:t>
      </w:r>
      <w:r>
        <w:rPr>
          <w:sz w:val="20"/>
          <w:szCs w:val="20"/>
        </w:rPr>
        <w:t xml:space="preserve">and make sure whole clauses aren't silently truncated during embedding.</w:t>
      </w:r>
    </w:p>
    <w:p>
      <w:pPr>
        <w:pStyle w:val="Heading1"/>
        <w:spacing w:after="120" w:before="280"/>
      </w:pPr>
      <w:r>
        <w:rPr>
          <w:b/>
          <w:bCs/>
          <w:color w:val="2e74b5"/>
          <w:sz w:val="30"/>
          <w:szCs w:val="30"/>
        </w:rPr>
        <w:t xml:space="preserve">New pieces (no existing code to pull from)</w:t>
      </w:r>
    </w:p>
    <w:p>
      <w:pPr>
        <w:spacing w:after="120" w:line="264"/>
      </w:pPr>
      <w:r>
        <w:rPr>
          <w:rFonts w:ascii="Consolas" w:cs="Consolas" w:eastAsia="Consolas" w:hAnsi="Consolas"/>
          <w:sz w:val="19"/>
          <w:szCs w:val="19"/>
        </w:rPr>
        <w:t xml:space="preserve">schemas.py</w:t>
      </w:r>
      <w:r>
        <w:rPr>
          <w:sz w:val="20"/>
          <w:szCs w:val="20"/>
        </w:rPr>
        <w:t xml:space="preserve"> — mirrors single-agent-lab's </w:t>
      </w:r>
      <w:r>
        <w:rPr>
          <w:rFonts w:ascii="Consolas" w:cs="Consolas" w:eastAsia="Consolas" w:hAnsi="Consolas"/>
          <w:sz w:val="19"/>
          <w:szCs w:val="19"/>
        </w:rPr>
        <w:t xml:space="preserve">TravelBriefing</w:t>
      </w:r>
      <w:r>
        <w:rPr>
          <w:sz w:val="20"/>
          <w:szCs w:val="20"/>
        </w:rPr>
        <w:t xml:space="preserve"> / </w:t>
      </w:r>
      <w:r>
        <w:rPr>
          <w:rFonts w:ascii="Consolas" w:cs="Consolas" w:eastAsia="Consolas" w:hAnsi="Consolas"/>
          <w:sz w:val="19"/>
          <w:szCs w:val="19"/>
        </w:rPr>
        <w:t xml:space="preserve">NeedMoreInfo</w:t>
      </w:r>
      <w:r>
        <w:rPr>
          <w:sz w:val="20"/>
          <w:szCs w:val="20"/>
        </w:rPr>
        <w:t xml:space="preserve"> union: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class EligibilityAnswer(BaseModel):</w:t>
            </w:r>
          </w:p>
          <w:p>
            <w:pPr>
              <w:spacing w:after="0" w:line="240"/>
            </w:pPr>
            <w:r>
              <w:rPr>
                <w:rFonts w:ascii="Consolas" w:cs="Consolas" w:eastAsia="Consolas" w:hAnsi="Consolas"/>
                <w:sz w:val="18"/>
                <w:szCs w:val="18"/>
              </w:rPr>
              <w:t xml:space="preserve">    program: str</w:t>
            </w:r>
          </w:p>
          <w:p>
            <w:pPr>
              <w:spacing w:after="0" w:line="240"/>
            </w:pPr>
            <w:r>
              <w:rPr>
                <w:rFonts w:ascii="Consolas" w:cs="Consolas" w:eastAsia="Consolas" w:hAnsi="Consolas"/>
                <w:sz w:val="18"/>
                <w:szCs w:val="18"/>
              </w:rPr>
              <w:t xml:space="preserve">    eligible: Literal["yes", "no", "partial"]</w:t>
            </w:r>
          </w:p>
          <w:p>
            <w:pPr>
              <w:spacing w:after="0" w:line="240"/>
            </w:pPr>
            <w:r>
              <w:rPr>
                <w:rFonts w:ascii="Consolas" w:cs="Consolas" w:eastAsia="Consolas" w:hAnsi="Consolas"/>
                <w:sz w:val="18"/>
                <w:szCs w:val="18"/>
              </w:rPr>
              <w:t xml:space="preserve">    cited_clause: str          # the exact rule text</w:t>
            </w:r>
          </w:p>
          <w:p>
            <w:pPr>
              <w:spacing w:after="0" w:line="240"/>
            </w:pPr>
            <w:r>
              <w:rPr>
                <w:rFonts w:ascii="Consolas" w:cs="Consolas" w:eastAsia="Consolas" w:hAnsi="Consolas"/>
                <w:sz w:val="18"/>
                <w:szCs w:val="18"/>
              </w:rPr>
              <w:t xml:space="preserve">    cited_source: str          # program name / doc it came from</w:t>
            </w:r>
          </w:p>
          <w:p>
            <w:pPr>
              <w:spacing w:after="0" w:line="240"/>
            </w:pPr>
            <w:r>
              <w:rPr>
                <w:rFonts w:ascii="Consolas" w:cs="Consolas" w:eastAsia="Consolas" w:hAnsi="Consolas"/>
                <w:sz w:val="18"/>
                <w:szCs w:val="18"/>
              </w:rPr>
              <w:t xml:space="preserve">    reasoning: str</w:t>
            </w:r>
          </w:p>
          <w:p>
            <w:pPr>
              <w:spacing w:after="0" w:line="240"/>
            </w:pPr>
            <w:r>
              <w:rPr>
                <w:rFonts w:ascii="Consolas" w:cs="Consolas" w:eastAsia="Consolas" w:hAnsi="Consolas"/>
                <w:sz w:val="18"/>
                <w:szCs w:val="18"/>
              </w:rPr>
              <w:t xml:space="preserve">    caveats: list[str]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NeedMoreInfo(BaseModel):</w:t>
            </w:r>
          </w:p>
          <w:p>
            <w:pPr>
              <w:spacing w:after="0" w:line="240"/>
            </w:pPr>
            <w:r>
              <w:rPr>
                <w:rFonts w:ascii="Consolas" w:cs="Consolas" w:eastAsia="Consolas" w:hAnsi="Consolas"/>
                <w:sz w:val="18"/>
                <w:szCs w:val="18"/>
              </w:rPr>
              <w:t xml:space="preserve">    question: str</w:t>
            </w:r>
          </w:p>
          <w:p>
            <w:pPr>
              <w:spacing w:after="0" w:line="240"/>
            </w:pPr>
            <w:r>
              <w:rPr>
                <w:rFonts w:ascii="Consolas" w:cs="Consolas" w:eastAsia="Consolas" w:hAnsi="Consolas"/>
                <w:sz w:val="18"/>
                <w:szCs w:val="18"/>
              </w:rPr>
              <w:t xml:space="preserve">    reason: str</w:t>
            </w:r>
          </w:p>
        </w:tc>
      </w:tr>
    </w:tbl>
    <w:p>
      <w:pPr>
        <w:spacing w:after="120" w:line="264"/>
      </w:pPr>
      <w:r>
        <w:rPr>
          <w:rFonts w:ascii="Consolas" w:cs="Consolas" w:eastAsia="Consolas" w:hAnsi="Consolas"/>
          <w:sz w:val="19"/>
          <w:szCs w:val="19"/>
        </w:rPr>
        <w:t xml:space="preserve">retriever_tool.py</w:t>
      </w:r>
      <w:r>
        <w:rPr>
          <w:sz w:val="20"/>
          <w:szCs w:val="20"/>
        </w:rPr>
        <w:t xml:space="preserve"> — thin wrapper: embed_query(text) → ChromaStore.search(embedding, k) → list of {text, metadata, score}, registered with agent.tool_plain.</w:t>
      </w:r>
    </w:p>
    <w:p>
      <w:pPr>
        <w:spacing w:after="120" w:line="264"/>
      </w:pPr>
      <w:r>
        <w:rPr>
          <w:b/>
          <w:bCs/>
          <w:sz w:val="20"/>
          <w:szCs w:val="20"/>
        </w:rPr>
        <w:t xml:space="preserve">System prompt</w:t>
      </w:r>
      <w:r>
        <w:rPr>
          <w:sz w:val="20"/>
          <w:szCs w:val="20"/>
        </w:rPr>
        <w:t xml:space="preserve"> — must state: report eligibility only, not odds of winning; always cite the exact clause; flag partial matches instead of forcing yes/no; use the retriever tool first, web search only if the program isn't in the local corpus.</w:t>
      </w:r>
    </w:p>
    <w:p>
      <w:pPr>
        <w:spacing w:after="120" w:line="264"/>
      </w:pPr>
      <w:r>
        <w:rPr>
          <w:b/>
          <w:bCs/>
          <w:sz w:val="20"/>
          <w:szCs w:val="20"/>
        </w:rPr>
        <w:t xml:space="preserve">Data</w:t>
      </w:r>
      <w:r>
        <w:rPr>
          <w:sz w:val="20"/>
          <w:szCs w:val="20"/>
        </w:rPr>
        <w:t xml:space="preserve"> — 10-15 scholarship/grant rule docs + 25-30 hand-labeled student test profiles with ground truth.</w:t>
      </w:r>
    </w:p>
    <w:p>
      <w:pPr>
        <w:pStyle w:val="Heading1"/>
        <w:spacing w:after="120" w:before="280"/>
      </w:pPr>
      <w:r>
        <w:rPr>
          <w:b/>
          <w:bCs/>
          <w:color w:val="2e74b5"/>
          <w:sz w:val="30"/>
          <w:szCs w:val="30"/>
        </w:rPr>
        <w:t xml:space="preserve">Proposed repo layout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Capstone-Project/</w:t>
            </w:r>
          </w:p>
          <w:p>
            <w:pPr>
              <w:spacing w:after="0" w:line="240"/>
            </w:pPr>
            <w:r>
              <w:rPr>
                <w:rFonts w:ascii="Consolas" w:cs="Consolas" w:eastAsia="Consolas" w:hAnsi="Consolas"/>
                <w:sz w:val="18"/>
                <w:szCs w:val="18"/>
              </w:rPr>
              <w:t xml:space="preserve">  ingest.py                 # load -&gt; chunk -&gt; embed -&gt; ChromaDB.add</w:t>
            </w:r>
          </w:p>
          <w:p>
            <w:pPr>
              <w:spacing w:after="0" w:line="240"/>
            </w:pPr>
            <w:r>
              <w:rPr>
                <w:rFonts w:ascii="Consolas" w:cs="Consolas" w:eastAsia="Consolas" w:hAnsi="Consolas"/>
                <w:sz w:val="18"/>
                <w:szCs w:val="18"/>
              </w:rPr>
              <w:t xml:space="preserve">  chunking/section_wise.py  # copied from rag-chunking-lab</w:t>
            </w:r>
          </w:p>
          <w:p>
            <w:pPr>
              <w:spacing w:after="0" w:line="240"/>
            </w:pPr>
            <w:r>
              <w:rPr>
                <w:rFonts w:ascii="Consolas" w:cs="Consolas" w:eastAsia="Consolas" w:hAnsi="Consolas"/>
                <w:sz w:val="18"/>
                <w:szCs w:val="18"/>
              </w:rPr>
              <w:t xml:space="preserve">  vectordb/chroma_store.py  # copied from rag-chunking-lab</w:t>
            </w:r>
          </w:p>
          <w:p>
            <w:pPr>
              <w:spacing w:after="0" w:line="240"/>
            </w:pPr>
            <w:r>
              <w:rPr>
                <w:rFonts w:ascii="Consolas" w:cs="Consolas" w:eastAsia="Consolas" w:hAnsi="Consolas"/>
                <w:sz w:val="18"/>
                <w:szCs w:val="18"/>
              </w:rPr>
              <w:t xml:space="preserve">  shared/embedder.py        # rewritten for OpenAI embeddings</w:t>
            </w:r>
          </w:p>
          <w:p>
            <w:pPr>
              <w:spacing w:after="0" w:line="240"/>
            </w:pPr>
            <w:r>
              <w:rPr>
                <w:rFonts w:ascii="Consolas" w:cs="Consolas" w:eastAsia="Consolas" w:hAnsi="Consolas"/>
                <w:sz w:val="18"/>
                <w:szCs w:val="18"/>
              </w:rPr>
              <w:t xml:space="preserve">  agent/</w:t>
            </w:r>
          </w:p>
          <w:p>
            <w:pPr>
              <w:spacing w:after="0" w:line="240"/>
            </w:pPr>
            <w:r>
              <w:rPr>
                <w:rFonts w:ascii="Consolas" w:cs="Consolas" w:eastAsia="Consolas" w:hAnsi="Consolas"/>
                <w:sz w:val="18"/>
                <w:szCs w:val="18"/>
              </w:rPr>
              <w:t xml:space="preserve">    schemas.py              # EligibilityAnswer / NeedMoreInfo</w:t>
            </w:r>
          </w:p>
          <w:p>
            <w:pPr>
              <w:spacing w:after="0" w:line="240"/>
            </w:pPr>
            <w:r>
              <w:rPr>
                <w:rFonts w:ascii="Consolas" w:cs="Consolas" w:eastAsia="Consolas" w:hAnsi="Consolas"/>
                <w:sz w:val="18"/>
                <w:szCs w:val="18"/>
              </w:rPr>
              <w:t xml:space="preserve">    tools.py                # retriever_tool + web_search (copied)</w:t>
            </w:r>
          </w:p>
          <w:p>
            <w:pPr>
              <w:spacing w:after="0" w:line="240"/>
            </w:pPr>
            <w:r>
              <w:rPr>
                <w:rFonts w:ascii="Consolas" w:cs="Consolas" w:eastAsia="Consolas" w:hAnsi="Consolas"/>
                <w:sz w:val="18"/>
                <w:szCs w:val="18"/>
              </w:rPr>
              <w:t xml:space="preserve">    agent.py                # adapted from single-agent-lab/agent.py</w:t>
            </w:r>
          </w:p>
          <w:p>
            <w:pPr>
              <w:spacing w:after="0" w:line="240"/>
            </w:pPr>
            <w:r>
              <w:rPr>
                <w:rFonts w:ascii="Consolas" w:cs="Consolas" w:eastAsia="Consolas" w:hAnsi="Consolas"/>
                <w:sz w:val="18"/>
                <w:szCs w:val="18"/>
              </w:rPr>
              <w:t xml:space="preserve">    trace.py                # copied, tool names updated</w:t>
            </w:r>
          </w:p>
          <w:p>
            <w:pPr>
              <w:spacing w:after="0" w:line="240"/>
            </w:pPr>
            <w:r>
              <w:rPr>
                <w:rFonts w:ascii="Consolas" w:cs="Consolas" w:eastAsia="Consolas" w:hAnsi="Consolas"/>
                <w:sz w:val="18"/>
                <w:szCs w:val="18"/>
              </w:rPr>
              <w:t xml:space="preserve">  eval/</w:t>
            </w:r>
          </w:p>
          <w:p>
            <w:pPr>
              <w:spacing w:after="0" w:line="240"/>
            </w:pPr>
            <w:r>
              <w:rPr>
                <w:rFonts w:ascii="Consolas" w:cs="Consolas" w:eastAsia="Consolas" w:hAnsi="Consolas"/>
                <w:sz w:val="18"/>
                <w:szCs w:val="18"/>
              </w:rPr>
              <w:t xml:space="preserve">    golden_profiles.json    # 25-30 labeled student profiles</w:t>
            </w:r>
          </w:p>
          <w:p>
            <w:pPr>
              <w:spacing w:after="0" w:line="240"/>
            </w:pPr>
            <w:r>
              <w:rPr>
                <w:rFonts w:ascii="Consolas" w:cs="Consolas" w:eastAsia="Consolas" w:hAnsi="Consolas"/>
                <w:sz w:val="18"/>
                <w:szCs w:val="18"/>
              </w:rPr>
              <w:t xml:space="preserve">    run_eval.py             # eligibility / citation / hallucination scorers</w:t>
            </w:r>
          </w:p>
          <w:p>
            <w:pPr>
              <w:spacing w:after="0" w:line="240"/>
            </w:pPr>
            <w:r>
              <w:rPr>
                <w:rFonts w:ascii="Consolas" w:cs="Consolas" w:eastAsia="Consolas" w:hAnsi="Consolas"/>
                <w:sz w:val="18"/>
                <w:szCs w:val="18"/>
              </w:rPr>
              <w:t xml:space="preserve">  data/programs/            # source rule PDFs (loader.py reads *.pdf)</w:t>
            </w:r>
          </w:p>
          <w:p>
            <w:pPr>
              <w:spacing w:after="0" w:line="240"/>
            </w:pPr>
            <w:r>
              <w:rPr>
                <w:rFonts w:ascii="Consolas" w:cs="Consolas" w:eastAsia="Consolas" w:hAnsi="Consolas"/>
                <w:sz w:val="18"/>
                <w:szCs w:val="18"/>
              </w:rPr>
              <w:t xml:space="preserve">  app.py                    # Streamlit UI</w:t>
            </w:r>
          </w:p>
          <w:p>
            <w:pPr>
              <w:spacing w:after="0" w:line="240"/>
            </w:pPr>
            <w:r>
              <w:rPr>
                <w:rFonts w:ascii="Consolas" w:cs="Consolas" w:eastAsia="Consolas" w:hAnsi="Consolas"/>
                <w:sz w:val="18"/>
                <w:szCs w:val="18"/>
              </w:rPr>
              <w:t xml:space="preserve">  requirements.txt</w:t>
            </w:r>
          </w:p>
          <w:p>
            <w:pPr>
              <w:spacing w:after="0" w:line="240"/>
            </w:pPr>
            <w:r>
              <w:rPr>
                <w:rFonts w:ascii="Consolas" w:cs="Consolas" w:eastAsia="Consolas" w:hAnsi="Consolas"/>
                <w:sz w:val="18"/>
                <w:szCs w:val="18"/>
              </w:rPr>
              <w:t xml:space="preserve">  .env</w:t>
            </w:r>
          </w:p>
        </w:tc>
      </w:tr>
    </w:tbl>
    <w:p>
      <w:pPr>
        <w:pStyle w:val="Heading1"/>
        <w:spacing w:after="120" w:before="280"/>
      </w:pPr>
      <w:r>
        <w:rPr>
          <w:b/>
          <w:bCs/>
          <w:color w:val="2e74b5"/>
          <w:sz w:val="30"/>
          <w:szCs w:val="30"/>
        </w:rPr>
        <w:t xml:space="preserve">Build order</w:t>
      </w:r>
    </w:p>
    <w:p>
      <w:pPr>
        <w:pStyle w:val="Heading2"/>
        <w:spacing w:after="100" w:before="200"/>
      </w:pPr>
      <w:r>
        <w:rPr>
          <w:b/>
          <w:bCs/>
          <w:color w:val="2e74b5"/>
          <w:sz w:val="24"/>
          <w:szCs w:val="24"/>
        </w:rPr>
        <w:t xml:space="preserve">Phase 1 — ingestion + baseline</w:t>
      </w:r>
    </w:p>
    <w:p>
      <w:pPr>
        <w:pStyle w:val="ListParagraph"/>
        <w:numPr>
          <w:ilvl w:val="0"/>
          <w:numId w:val="1"/>
        </w:numPr>
        <w:spacing w:after="80" w:line="264"/>
      </w:pPr>
      <w:r>
        <w:rPr>
          <w:sz w:val="20"/>
          <w:szCs w:val="20"/>
        </w:rPr>
        <w:t xml:space="preserve">Pick 10-15 programs with clear, checkable rules; collect the docs into data/programs/ — </w:t>
      </w:r>
      <w:r>
        <w:rPr>
          <w:b/>
          <w:bCs/>
          <w:sz w:val="20"/>
          <w:szCs w:val="20"/>
        </w:rPr>
        <w:t xml:space="preserve">done</w:t>
      </w:r>
    </w:p>
    <w:p>
      <w:pPr>
        <w:pStyle w:val="ListParagraph"/>
        <w:numPr>
          <w:ilvl w:val="0"/>
          <w:numId w:val="1"/>
        </w:numPr>
        <w:spacing w:after="80" w:line="264"/>
      </w:pPr>
      <w:r>
        <w:rPr>
          <w:sz w:val="20"/>
          <w:szCs w:val="20"/>
        </w:rPr>
        <w:t xml:space="preserve">Copy section_wise.py and chroma_store.py verbatim  </w:t>
      </w:r>
      <w:r>
        <w:rPr>
          <w:i/>
          <w:iCs/>
          <w:color w:val="555555"/>
          <w:sz w:val="19"/>
          <w:szCs w:val="19"/>
        </w:rPr>
        <w:t xml:space="preserve">concept: chunking strategies, vector search/HNSW</w:t>
      </w:r>
    </w:p>
    <w:p>
      <w:pPr>
        <w:pStyle w:val="ListParagraph"/>
        <w:numPr>
          <w:ilvl w:val="0"/>
          <w:numId w:val="1"/>
        </w:numPr>
        <w:spacing w:after="80" w:line="264"/>
      </w:pPr>
      <w:r>
        <w:rPr>
          <w:sz w:val="20"/>
          <w:szCs w:val="20"/>
        </w:rPr>
        <w:t xml:space="preserve">Write shared/embedder.py for OpenAI text-embedding-3-small  </w:t>
      </w:r>
      <w:r>
        <w:rPr>
          <w:i/>
          <w:iCs/>
          <w:color w:val="555555"/>
          <w:sz w:val="19"/>
          <w:szCs w:val="19"/>
        </w:rPr>
        <w:t xml:space="preserve">concept: embeddings</w:t>
      </w:r>
    </w:p>
    <w:p>
      <w:pPr>
        <w:pStyle w:val="ListParagraph"/>
        <w:numPr>
          <w:ilvl w:val="0"/>
          <w:numId w:val="1"/>
        </w:numPr>
        <w:spacing w:after="80" w:line="264"/>
      </w:pPr>
      <w:r>
        <w:rPr>
          <w:sz w:val="20"/>
          <w:szCs w:val="20"/>
        </w:rPr>
        <w:t xml:space="preserve">Write ingest.py, run it once</w:t>
      </w:r>
    </w:p>
    <w:p>
      <w:pPr>
        <w:pStyle w:val="ListParagraph"/>
        <w:numPr>
          <w:ilvl w:val="0"/>
          <w:numId w:val="1"/>
        </w:numPr>
        <w:spacing w:after="80" w:line="264"/>
      </w:pPr>
      <w:r>
        <w:rPr>
          <w:sz w:val="20"/>
          <w:szCs w:val="20"/>
        </w:rPr>
        <w:t xml:space="preserve">Smoke-test: query Chroma directly on 3-4 sample questions, confirm the right chunks come back</w:t>
      </w:r>
    </w:p>
    <w:p>
      <w:pPr>
        <w:pStyle w:val="Heading2"/>
        <w:spacing w:after="100" w:before="200"/>
      </w:pPr>
      <w:r>
        <w:rPr>
          <w:b/>
          <w:bCs/>
          <w:color w:val="2e74b5"/>
          <w:sz w:val="24"/>
          <w:szCs w:val="24"/>
        </w:rPr>
        <w:t xml:space="preserve">Phase 2 — agent</w:t>
      </w:r>
    </w:p>
    <w:p>
      <w:pPr>
        <w:pStyle w:val="ListParagraph"/>
        <w:numPr>
          <w:ilvl w:val="0"/>
          <w:numId w:val="1"/>
        </w:numPr>
        <w:spacing w:after="80" w:line="264"/>
      </w:pPr>
      <w:r>
        <w:rPr>
          <w:sz w:val="20"/>
          <w:szCs w:val="20"/>
        </w:rPr>
        <w:t xml:space="preserve">Write agent/schemas.py  </w:t>
      </w:r>
      <w:r>
        <w:rPr>
          <w:i/>
          <w:iCs/>
          <w:color w:val="555555"/>
          <w:sz w:val="19"/>
          <w:szCs w:val="19"/>
        </w:rPr>
        <w:t xml:space="preserve">concept: typed outputs &amp; validation</w:t>
      </w:r>
    </w:p>
    <w:p>
      <w:pPr>
        <w:pStyle w:val="ListParagraph"/>
        <w:numPr>
          <w:ilvl w:val="0"/>
          <w:numId w:val="1"/>
        </w:numPr>
        <w:spacing w:after="80" w:line="264"/>
      </w:pPr>
      <w:r>
        <w:rPr>
          <w:sz w:val="20"/>
          <w:szCs w:val="20"/>
        </w:rPr>
        <w:t xml:space="preserve">Write agent/tools.py — retriever tool + copy web_search.py  </w:t>
      </w:r>
      <w:r>
        <w:rPr>
          <w:i/>
          <w:iCs/>
          <w:color w:val="555555"/>
          <w:sz w:val="19"/>
          <w:szCs w:val="19"/>
        </w:rPr>
        <w:t xml:space="preserve">concept: tool design &amp; dependent chains</w:t>
      </w:r>
    </w:p>
    <w:p>
      <w:pPr>
        <w:pStyle w:val="ListParagraph"/>
        <w:numPr>
          <w:ilvl w:val="0"/>
          <w:numId w:val="1"/>
        </w:numPr>
        <w:spacing w:after="80" w:line="264"/>
      </w:pPr>
      <w:r>
        <w:rPr>
          <w:sz w:val="20"/>
          <w:szCs w:val="20"/>
        </w:rPr>
        <w:t xml:space="preserve">Adapt agent.py: new system prompt, output_type=[EligibilityAnswer, NeedMoreInfo], register both tools, keep UsageLimits  </w:t>
      </w:r>
      <w:r>
        <w:rPr>
          <w:i/>
          <w:iCs/>
          <w:color w:val="555555"/>
          <w:sz w:val="19"/>
          <w:szCs w:val="19"/>
        </w:rPr>
        <w:t xml:space="preserve">concept: ReAct loop, guardrails</w:t>
      </w:r>
    </w:p>
    <w:p>
      <w:pPr>
        <w:pStyle w:val="ListParagraph"/>
        <w:numPr>
          <w:ilvl w:val="0"/>
          <w:numId w:val="1"/>
        </w:numPr>
        <w:spacing w:after="80" w:line="264"/>
      </w:pPr>
      <w:r>
        <w:rPr>
          <w:sz w:val="20"/>
          <w:szCs w:val="20"/>
        </w:rPr>
        <w:t xml:space="preserve">Copy trace.py, run 5-10 manual queries, eyeball the traces  </w:t>
      </w:r>
      <w:r>
        <w:rPr>
          <w:i/>
          <w:iCs/>
          <w:color w:val="555555"/>
          <w:sz w:val="19"/>
          <w:szCs w:val="19"/>
        </w:rPr>
        <w:t xml:space="preserve">concept: tracing/observability</w:t>
      </w:r>
    </w:p>
    <w:p>
      <w:pPr>
        <w:pStyle w:val="Heading2"/>
        <w:spacing w:after="100" w:before="200"/>
      </w:pPr>
      <w:r>
        <w:rPr>
          <w:b/>
          <w:bCs/>
          <w:color w:val="2e74b5"/>
          <w:sz w:val="24"/>
          <w:szCs w:val="24"/>
        </w:rPr>
        <w:t xml:space="preserve">Phase 3 — eval, UI, wrap-up</w:t>
      </w:r>
    </w:p>
    <w:p>
      <w:pPr>
        <w:pStyle w:val="ListParagraph"/>
        <w:numPr>
          <w:ilvl w:val="0"/>
          <w:numId w:val="1"/>
        </w:numPr>
        <w:spacing w:after="80" w:line="264"/>
      </w:pPr>
      <w:r>
        <w:rPr>
          <w:sz w:val="20"/>
          <w:szCs w:val="20"/>
        </w:rPr>
        <w:t xml:space="preserve">Build golden_profiles.json (25-30 labeled profiles)</w:t>
      </w:r>
    </w:p>
    <w:p>
      <w:pPr>
        <w:pStyle w:val="ListParagraph"/>
        <w:numPr>
          <w:ilvl w:val="0"/>
          <w:numId w:val="1"/>
        </w:numPr>
        <w:spacing w:after="80" w:line="264"/>
      </w:pPr>
      <w:r>
        <w:rPr>
          <w:sz w:val="20"/>
          <w:szCs w:val="20"/>
        </w:rPr>
        <w:t xml:space="preserve">Adapt eval/metrics.py into eligibility/citation/hallucination scorers  </w:t>
      </w:r>
      <w:r>
        <w:rPr>
          <w:i/>
          <w:iCs/>
          <w:color w:val="555555"/>
          <w:sz w:val="19"/>
          <w:szCs w:val="19"/>
        </w:rPr>
        <w:t xml:space="preserve">concept: eval metric design</w:t>
      </w:r>
    </w:p>
    <w:p>
      <w:pPr>
        <w:pStyle w:val="ListParagraph"/>
        <w:numPr>
          <w:ilvl w:val="0"/>
          <w:numId w:val="1"/>
        </w:numPr>
        <w:spacing w:after="80" w:line="264"/>
      </w:pPr>
      <w:r>
        <w:rPr>
          <w:sz w:val="20"/>
          <w:szCs w:val="20"/>
        </w:rPr>
        <w:t xml:space="preserve">Run baseline (vanilla RAG) vs agent on the same test set, log the comparison</w:t>
      </w:r>
    </w:p>
    <w:p>
      <w:pPr>
        <w:pStyle w:val="ListParagraph"/>
        <w:numPr>
          <w:ilvl w:val="0"/>
          <w:numId w:val="1"/>
        </w:numPr>
        <w:spacing w:after="80" w:line="264"/>
      </w:pPr>
      <w:r>
        <w:rPr>
          <w:sz w:val="20"/>
          <w:szCs w:val="20"/>
        </w:rPr>
        <w:t xml:space="preserve">Build the Streamlit UI</w:t>
      </w:r>
    </w:p>
    <w:p>
      <w:pPr>
        <w:pStyle w:val="ListParagraph"/>
        <w:numPr>
          <w:ilvl w:val="0"/>
          <w:numId w:val="1"/>
        </w:numPr>
        <w:spacing w:after="80" w:line="264"/>
      </w:pPr>
      <w:r>
        <w:rPr>
          <w:sz w:val="20"/>
          <w:szCs w:val="20"/>
        </w:rPr>
        <w:t xml:space="preserve">Write the comparative-eval conclusion + failure log for the README</w:t>
      </w:r>
    </w:p>
    <w:p>
      <w:pPr>
        <w:pStyle w:val="ListParagraph"/>
        <w:numPr>
          <w:ilvl w:val="0"/>
          <w:numId w:val="1"/>
        </w:numPr>
        <w:spacing w:after="80" w:line="264"/>
      </w:pPr>
      <w:r>
        <w:rPr>
          <w:sz w:val="20"/>
          <w:szCs w:val="20"/>
        </w:rPr>
        <w:t xml:space="preserve">Record the 3-minute demo</w:t>
      </w:r>
    </w:p>
    <w:p>
      <w:pPr>
        <w:pStyle w:val="Heading1"/>
        <w:spacing w:after="120" w:before="280"/>
      </w:pPr>
      <w:r>
        <w:rPr>
          <w:b/>
          <w:bCs/>
          <w:color w:val="2e74b5"/>
          <w:sz w:val="30"/>
          <w:szCs w:val="30"/>
        </w:rPr>
        <w:t xml:space="preserve">Data collected</w:t>
      </w:r>
    </w:p>
    <w:p>
      <w:pPr>
        <w:spacing w:after="120" w:line="264"/>
      </w:pPr>
      <w:r>
        <w:rPr>
          <w:sz w:val="20"/>
          <w:szCs w:val="20"/>
        </w:rPr>
        <w:t xml:space="preserve">10 real programs, each as a one-page PDF rule sheet in data/programs/ — converted from plain text to PDF specifically so rag-chunking-lab's shared/loader.py (PdfReader-based, globs *.pdf) can load them without modification. Verified each one round-trips cleanly through pypdf.PdfReader(...).extract_text(). Sourced from official program pages (state higher-ed agencies + studentaid.gov). Mix of rule types on purpose — flat income cutoffs, income formulas, GPA-only, GPA + test score + service hours, and categorical (residency, first-gen, degree status) — so the eval set can exercise different citation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d9e6f2" w:val="clear"/>
            <w:tcMar>
              <w:top w:type="dxa" w:w="80"/>
              <w:left w:type="dxa" w:w="100"/>
              <w:bottom w:type="dxa" w:w="80"/>
              <w:right w:type="dxa" w:w="100"/>
            </w:tcMar>
          </w:tcPr>
          <w:p>
            <w:r>
              <w:rPr>
                <w:b/>
                <w:bCs/>
                <w:sz w:val="19"/>
                <w:szCs w:val="19"/>
              </w:rPr>
              <w:t xml:space="preserve">File</w:t>
            </w:r>
          </w:p>
        </w:tc>
        <w:tc>
          <w:tcPr>
            <w:tcW w:type="dxa" w:w="3200"/>
            <w:shd w:fill="d9e6f2" w:val="clear"/>
            <w:tcMar>
              <w:top w:type="dxa" w:w="80"/>
              <w:left w:type="dxa" w:w="100"/>
              <w:bottom w:type="dxa" w:w="80"/>
              <w:right w:type="dxa" w:w="100"/>
            </w:tcMar>
          </w:tcPr>
          <w:p>
            <w:r>
              <w:rPr>
                <w:b/>
                <w:bCs/>
                <w:sz w:val="19"/>
                <w:szCs w:val="19"/>
              </w:rPr>
              <w:t xml:space="preserve">Program</w:t>
            </w:r>
          </w:p>
        </w:tc>
        <w:tc>
          <w:tcPr>
            <w:tcW w:type="dxa" w:w="3600"/>
            <w:shd w:fill="d9e6f2" w:val="clear"/>
            <w:tcMar>
              <w:top w:type="dxa" w:w="80"/>
              <w:left w:type="dxa" w:w="100"/>
              <w:bottom w:type="dxa" w:w="80"/>
              <w:right w:type="dxa" w:w="100"/>
            </w:tcMar>
          </w:tcPr>
          <w:p>
            <w:r>
              <w:rPr>
                <w:b/>
                <w:bCs/>
                <w:sz w:val="19"/>
                <w:szCs w:val="19"/>
              </w:rPr>
              <w:t xml:space="preserve">Rule type</w:t>
            </w:r>
          </w:p>
        </w:tc>
      </w:tr>
      <w:tr>
        <w:tc>
          <w:tcPr>
            <w:tcW w:type="dxa" w:w="2600"/>
            <w:tcMar>
              <w:top w:type="dxa" w:w="80"/>
              <w:left w:type="dxa" w:w="100"/>
              <w:bottom w:type="dxa" w:w="80"/>
              <w:right w:type="dxa" w:w="100"/>
            </w:tcMar>
          </w:tcPr>
          <w:p>
            <w:r>
              <w:rPr>
                <w:sz w:val="19"/>
                <w:szCs w:val="19"/>
              </w:rPr>
              <w:t xml:space="preserve">nj_tag.pdf</w:t>
            </w:r>
          </w:p>
        </w:tc>
        <w:tc>
          <w:tcPr>
            <w:tcW w:type="dxa" w:w="3200"/>
            <w:tcMar>
              <w:top w:type="dxa" w:w="80"/>
              <w:left w:type="dxa" w:w="100"/>
              <w:bottom w:type="dxa" w:w="80"/>
              <w:right w:type="dxa" w:w="100"/>
            </w:tcMar>
          </w:tcPr>
          <w:p>
            <w:r>
              <w:rPr>
                <w:sz w:val="19"/>
                <w:szCs w:val="19"/>
              </w:rPr>
              <w:t xml:space="preserve">NJ Tuition Aid Grant</w:t>
            </w:r>
          </w:p>
        </w:tc>
        <w:tc>
          <w:tcPr>
            <w:tcW w:type="dxa" w:w="3600"/>
            <w:tcMar>
              <w:top w:type="dxa" w:w="80"/>
              <w:left w:type="dxa" w:w="100"/>
              <w:bottom w:type="dxa" w:w="80"/>
              <w:right w:type="dxa" w:w="100"/>
            </w:tcMar>
          </w:tcPr>
          <w:p>
            <w:r>
              <w:rPr>
                <w:sz w:val="19"/>
                <w:szCs w:val="19"/>
              </w:rPr>
              <w:t xml:space="preserve">income + residency + degree status</w:t>
            </w:r>
          </w:p>
        </w:tc>
      </w:tr>
      <w:tr>
        <w:tc>
          <w:tcPr>
            <w:tcW w:type="dxa" w:w="2600"/>
            <w:tcMar>
              <w:top w:type="dxa" w:w="80"/>
              <w:left w:type="dxa" w:w="100"/>
              <w:bottom w:type="dxa" w:w="80"/>
              <w:right w:type="dxa" w:w="100"/>
            </w:tcMar>
          </w:tcPr>
          <w:p>
            <w:r>
              <w:rPr>
                <w:sz w:val="19"/>
                <w:szCs w:val="19"/>
              </w:rPr>
              <w:t xml:space="preserve">nj_stars.pdf</w:t>
            </w:r>
          </w:p>
        </w:tc>
        <w:tc>
          <w:tcPr>
            <w:tcW w:type="dxa" w:w="3200"/>
            <w:tcMar>
              <w:top w:type="dxa" w:w="80"/>
              <w:left w:type="dxa" w:w="100"/>
              <w:bottom w:type="dxa" w:w="80"/>
              <w:right w:type="dxa" w:w="100"/>
            </w:tcMar>
          </w:tcPr>
          <w:p>
            <w:r>
              <w:rPr>
                <w:sz w:val="19"/>
                <w:szCs w:val="19"/>
              </w:rPr>
              <w:t xml:space="preserve">NJ STARS / STARS II</w:t>
            </w:r>
          </w:p>
        </w:tc>
        <w:tc>
          <w:tcPr>
            <w:tcW w:type="dxa" w:w="3600"/>
            <w:tcMar>
              <w:top w:type="dxa" w:w="80"/>
              <w:left w:type="dxa" w:w="100"/>
              <w:bottom w:type="dxa" w:w="80"/>
              <w:right w:type="dxa" w:w="100"/>
            </w:tcMar>
          </w:tcPr>
          <w:p>
            <w:r>
              <w:rPr>
                <w:sz w:val="19"/>
                <w:szCs w:val="19"/>
              </w:rPr>
              <w:t xml:space="preserve">GPA + class rank + income</w:t>
            </w:r>
          </w:p>
        </w:tc>
      </w:tr>
      <w:tr>
        <w:tc>
          <w:tcPr>
            <w:tcW w:type="dxa" w:w="2600"/>
            <w:tcMar>
              <w:top w:type="dxa" w:w="80"/>
              <w:left w:type="dxa" w:w="100"/>
              <w:bottom w:type="dxa" w:w="80"/>
              <w:right w:type="dxa" w:w="100"/>
            </w:tcMar>
          </w:tcPr>
          <w:p>
            <w:r>
              <w:rPr>
                <w:sz w:val="19"/>
                <w:szCs w:val="19"/>
              </w:rPr>
              <w:t xml:space="preserve">federal_pell_grant.pdf</w:t>
            </w:r>
          </w:p>
        </w:tc>
        <w:tc>
          <w:tcPr>
            <w:tcW w:type="dxa" w:w="3200"/>
            <w:tcMar>
              <w:top w:type="dxa" w:w="80"/>
              <w:left w:type="dxa" w:w="100"/>
              <w:bottom w:type="dxa" w:w="80"/>
              <w:right w:type="dxa" w:w="100"/>
            </w:tcMar>
          </w:tcPr>
          <w:p>
            <w:r>
              <w:rPr>
                <w:sz w:val="19"/>
                <w:szCs w:val="19"/>
              </w:rPr>
              <w:t xml:space="preserve">Federal Pell Grant</w:t>
            </w:r>
          </w:p>
        </w:tc>
        <w:tc>
          <w:tcPr>
            <w:tcW w:type="dxa" w:w="3600"/>
            <w:tcMar>
              <w:top w:type="dxa" w:w="80"/>
              <w:left w:type="dxa" w:w="100"/>
              <w:bottom w:type="dxa" w:w="80"/>
              <w:right w:type="dxa" w:w="100"/>
            </w:tcMar>
          </w:tcPr>
          <w:p>
            <w:r>
              <w:rPr>
                <w:sz w:val="19"/>
                <w:szCs w:val="19"/>
              </w:rPr>
              <w:t xml:space="preserve">SAI formula (not flat income)</w:t>
            </w:r>
          </w:p>
        </w:tc>
      </w:tr>
      <w:tr>
        <w:tc>
          <w:tcPr>
            <w:tcW w:type="dxa" w:w="2600"/>
            <w:tcMar>
              <w:top w:type="dxa" w:w="80"/>
              <w:left w:type="dxa" w:w="100"/>
              <w:bottom w:type="dxa" w:w="80"/>
              <w:right w:type="dxa" w:w="100"/>
            </w:tcMar>
          </w:tcPr>
          <w:p>
            <w:r>
              <w:rPr>
                <w:sz w:val="19"/>
                <w:szCs w:val="19"/>
              </w:rPr>
              <w:t xml:space="preserve">georgia_hope_scholarship.pdf</w:t>
            </w:r>
          </w:p>
        </w:tc>
        <w:tc>
          <w:tcPr>
            <w:tcW w:type="dxa" w:w="3200"/>
            <w:tcMar>
              <w:top w:type="dxa" w:w="80"/>
              <w:left w:type="dxa" w:w="100"/>
              <w:bottom w:type="dxa" w:w="80"/>
              <w:right w:type="dxa" w:w="100"/>
            </w:tcMar>
          </w:tcPr>
          <w:p>
            <w:r>
              <w:rPr>
                <w:sz w:val="19"/>
                <w:szCs w:val="19"/>
              </w:rPr>
              <w:t xml:space="preserve">Georgia HOPE Scholarship</w:t>
            </w:r>
          </w:p>
        </w:tc>
        <w:tc>
          <w:tcPr>
            <w:tcW w:type="dxa" w:w="3600"/>
            <w:tcMar>
              <w:top w:type="dxa" w:w="80"/>
              <w:left w:type="dxa" w:w="100"/>
              <w:bottom w:type="dxa" w:w="80"/>
              <w:right w:type="dxa" w:w="100"/>
            </w:tcMar>
          </w:tcPr>
          <w:p>
            <w:r>
              <w:rPr>
                <w:sz w:val="19"/>
                <w:szCs w:val="19"/>
              </w:rPr>
              <w:t xml:space="preserve">GPA + residency</w:t>
            </w:r>
          </w:p>
        </w:tc>
      </w:tr>
      <w:tr>
        <w:tc>
          <w:tcPr>
            <w:tcW w:type="dxa" w:w="2600"/>
            <w:tcMar>
              <w:top w:type="dxa" w:w="80"/>
              <w:left w:type="dxa" w:w="100"/>
              <w:bottom w:type="dxa" w:w="80"/>
              <w:right w:type="dxa" w:w="100"/>
            </w:tcMar>
          </w:tcPr>
          <w:p>
            <w:r>
              <w:rPr>
                <w:sz w:val="19"/>
                <w:szCs w:val="19"/>
              </w:rPr>
              <w:t xml:space="preserve">california_cal_grant.pdf</w:t>
            </w:r>
          </w:p>
        </w:tc>
        <w:tc>
          <w:tcPr>
            <w:tcW w:type="dxa" w:w="3200"/>
            <w:tcMar>
              <w:top w:type="dxa" w:w="80"/>
              <w:left w:type="dxa" w:w="100"/>
              <w:bottom w:type="dxa" w:w="80"/>
              <w:right w:type="dxa" w:w="100"/>
            </w:tcMar>
          </w:tcPr>
          <w:p>
            <w:r>
              <w:rPr>
                <w:sz w:val="19"/>
                <w:szCs w:val="19"/>
              </w:rPr>
              <w:t xml:space="preserve">California Cal Grant A/B</w:t>
            </w:r>
          </w:p>
        </w:tc>
        <w:tc>
          <w:tcPr>
            <w:tcW w:type="dxa" w:w="3600"/>
            <w:tcMar>
              <w:top w:type="dxa" w:w="80"/>
              <w:left w:type="dxa" w:w="100"/>
              <w:bottom w:type="dxa" w:w="80"/>
              <w:right w:type="dxa" w:w="100"/>
            </w:tcMar>
          </w:tcPr>
          <w:p>
            <w:r>
              <w:rPr>
                <w:sz w:val="19"/>
                <w:szCs w:val="19"/>
              </w:rPr>
              <w:t xml:space="preserve">GPA + income/asset ceiling</w:t>
            </w:r>
          </w:p>
        </w:tc>
      </w:tr>
      <w:tr>
        <w:tc>
          <w:tcPr>
            <w:tcW w:type="dxa" w:w="2600"/>
            <w:tcMar>
              <w:top w:type="dxa" w:w="80"/>
              <w:left w:type="dxa" w:w="100"/>
              <w:bottom w:type="dxa" w:w="80"/>
              <w:right w:type="dxa" w:w="100"/>
            </w:tcMar>
          </w:tcPr>
          <w:p>
            <w:r>
              <w:rPr>
                <w:sz w:val="19"/>
                <w:szCs w:val="19"/>
              </w:rPr>
              <w:t xml:space="preserve">florida_bright_futures.pdf</w:t>
            </w:r>
          </w:p>
        </w:tc>
        <w:tc>
          <w:tcPr>
            <w:tcW w:type="dxa" w:w="3200"/>
            <w:tcMar>
              <w:top w:type="dxa" w:w="80"/>
              <w:left w:type="dxa" w:w="100"/>
              <w:bottom w:type="dxa" w:w="80"/>
              <w:right w:type="dxa" w:w="100"/>
            </w:tcMar>
          </w:tcPr>
          <w:p>
            <w:r>
              <w:rPr>
                <w:sz w:val="19"/>
                <w:szCs w:val="19"/>
              </w:rPr>
              <w:t xml:space="preserve">Florida Bright Futures (FAS)</w:t>
            </w:r>
          </w:p>
        </w:tc>
        <w:tc>
          <w:tcPr>
            <w:tcW w:type="dxa" w:w="3600"/>
            <w:tcMar>
              <w:top w:type="dxa" w:w="80"/>
              <w:left w:type="dxa" w:w="100"/>
              <w:bottom w:type="dxa" w:w="80"/>
              <w:right w:type="dxa" w:w="100"/>
            </w:tcMar>
          </w:tcPr>
          <w:p>
            <w:r>
              <w:rPr>
                <w:sz w:val="19"/>
                <w:szCs w:val="19"/>
              </w:rPr>
              <w:t xml:space="preserve">GPA + SAT + service hours</w:t>
            </w:r>
          </w:p>
        </w:tc>
      </w:tr>
      <w:tr>
        <w:tc>
          <w:tcPr>
            <w:tcW w:type="dxa" w:w="2600"/>
            <w:tcMar>
              <w:top w:type="dxa" w:w="80"/>
              <w:left w:type="dxa" w:w="100"/>
              <w:bottom w:type="dxa" w:w="80"/>
              <w:right w:type="dxa" w:w="100"/>
            </w:tcMar>
          </w:tcPr>
          <w:p>
            <w:r>
              <w:rPr>
                <w:sz w:val="19"/>
                <w:szCs w:val="19"/>
              </w:rPr>
              <w:t xml:space="preserve">federal_teach_grant.pdf</w:t>
            </w:r>
          </w:p>
        </w:tc>
        <w:tc>
          <w:tcPr>
            <w:tcW w:type="dxa" w:w="3200"/>
            <w:tcMar>
              <w:top w:type="dxa" w:w="80"/>
              <w:left w:type="dxa" w:w="100"/>
              <w:bottom w:type="dxa" w:w="80"/>
              <w:right w:type="dxa" w:w="100"/>
            </w:tcMar>
          </w:tcPr>
          <w:p>
            <w:r>
              <w:rPr>
                <w:sz w:val="19"/>
                <w:szCs w:val="19"/>
              </w:rPr>
              <w:t xml:space="preserve">Federal TEACH Grant</w:t>
            </w:r>
          </w:p>
        </w:tc>
        <w:tc>
          <w:tcPr>
            <w:tcW w:type="dxa" w:w="3600"/>
            <w:tcMar>
              <w:top w:type="dxa" w:w="80"/>
              <w:left w:type="dxa" w:w="100"/>
              <w:bottom w:type="dxa" w:w="80"/>
              <w:right w:type="dxa" w:w="100"/>
            </w:tcMar>
          </w:tcPr>
          <w:p>
            <w:r>
              <w:rPr>
                <w:sz w:val="19"/>
                <w:szCs w:val="19"/>
              </w:rPr>
              <w:t xml:space="preserve">GPA or test percentile + service commitment</w:t>
            </w:r>
          </w:p>
        </w:tc>
      </w:tr>
      <w:tr>
        <w:tc>
          <w:tcPr>
            <w:tcW w:type="dxa" w:w="2600"/>
            <w:tcMar>
              <w:top w:type="dxa" w:w="80"/>
              <w:left w:type="dxa" w:w="100"/>
              <w:bottom w:type="dxa" w:w="80"/>
              <w:right w:type="dxa" w:w="100"/>
            </w:tcMar>
          </w:tcPr>
          <w:p>
            <w:r>
              <w:rPr>
                <w:sz w:val="19"/>
                <w:szCs w:val="19"/>
              </w:rPr>
              <w:t xml:space="preserve">nj_eof.pdf</w:t>
            </w:r>
          </w:p>
        </w:tc>
        <w:tc>
          <w:tcPr>
            <w:tcW w:type="dxa" w:w="3200"/>
            <w:tcMar>
              <w:top w:type="dxa" w:w="80"/>
              <w:left w:type="dxa" w:w="100"/>
              <w:bottom w:type="dxa" w:w="80"/>
              <w:right w:type="dxa" w:w="100"/>
            </w:tcMar>
          </w:tcPr>
          <w:p>
            <w:r>
              <w:rPr>
                <w:sz w:val="19"/>
                <w:szCs w:val="19"/>
              </w:rPr>
              <w:t xml:space="preserve">NJ Educational Opportunity Fund</w:t>
            </w:r>
          </w:p>
        </w:tc>
        <w:tc>
          <w:tcPr>
            <w:tcW w:type="dxa" w:w="3600"/>
            <w:tcMar>
              <w:top w:type="dxa" w:w="80"/>
              <w:left w:type="dxa" w:w="100"/>
              <w:bottom w:type="dxa" w:w="80"/>
              <w:right w:type="dxa" w:w="100"/>
            </w:tcMar>
          </w:tcPr>
          <w:p>
            <w:r>
              <w:rPr>
                <w:sz w:val="19"/>
                <w:szCs w:val="19"/>
              </w:rPr>
              <w:t xml:space="preserve">income + disadvantaged background + first-gen</w:t>
            </w:r>
          </w:p>
        </w:tc>
      </w:tr>
      <w:tr>
        <w:tc>
          <w:tcPr>
            <w:tcW w:type="dxa" w:w="2600"/>
            <w:tcMar>
              <w:top w:type="dxa" w:w="80"/>
              <w:left w:type="dxa" w:w="100"/>
              <w:bottom w:type="dxa" w:w="80"/>
              <w:right w:type="dxa" w:w="100"/>
            </w:tcMar>
          </w:tcPr>
          <w:p>
            <w:r>
              <w:rPr>
                <w:sz w:val="19"/>
                <w:szCs w:val="19"/>
              </w:rPr>
              <w:t xml:space="preserve">federal_seog.pdf</w:t>
            </w:r>
          </w:p>
        </w:tc>
        <w:tc>
          <w:tcPr>
            <w:tcW w:type="dxa" w:w="3200"/>
            <w:tcMar>
              <w:top w:type="dxa" w:w="80"/>
              <w:left w:type="dxa" w:w="100"/>
              <w:bottom w:type="dxa" w:w="80"/>
              <w:right w:type="dxa" w:w="100"/>
            </w:tcMar>
          </w:tcPr>
          <w:p>
            <w:r>
              <w:rPr>
                <w:sz w:val="19"/>
                <w:szCs w:val="19"/>
              </w:rPr>
              <w:t xml:space="preserve">Federal SEOG</w:t>
            </w:r>
          </w:p>
        </w:tc>
        <w:tc>
          <w:tcPr>
            <w:tcW w:type="dxa" w:w="3600"/>
            <w:tcMar>
              <w:top w:type="dxa" w:w="80"/>
              <w:left w:type="dxa" w:w="100"/>
              <w:bottom w:type="dxa" w:w="80"/>
              <w:right w:type="dxa" w:w="100"/>
            </w:tcMar>
          </w:tcPr>
          <w:p>
            <w:r>
              <w:rPr>
                <w:sz w:val="19"/>
                <w:szCs w:val="19"/>
              </w:rPr>
              <w:t xml:space="preserve">need-based, funding-limited</w:t>
            </w:r>
          </w:p>
        </w:tc>
      </w:tr>
      <w:tr>
        <w:tc>
          <w:tcPr>
            <w:tcW w:type="dxa" w:w="2600"/>
            <w:tcMar>
              <w:top w:type="dxa" w:w="80"/>
              <w:left w:type="dxa" w:w="100"/>
              <w:bottom w:type="dxa" w:w="80"/>
              <w:right w:type="dxa" w:w="100"/>
            </w:tcMar>
          </w:tcPr>
          <w:p>
            <w:r>
              <w:rPr>
                <w:sz w:val="19"/>
                <w:szCs w:val="19"/>
              </w:rPr>
              <w:t xml:space="preserve">ny_tap.pdf</w:t>
            </w:r>
          </w:p>
        </w:tc>
        <w:tc>
          <w:tcPr>
            <w:tcW w:type="dxa" w:w="3200"/>
            <w:tcMar>
              <w:top w:type="dxa" w:w="80"/>
              <w:left w:type="dxa" w:w="100"/>
              <w:bottom w:type="dxa" w:w="80"/>
              <w:right w:type="dxa" w:w="100"/>
            </w:tcMar>
          </w:tcPr>
          <w:p>
            <w:r>
              <w:rPr>
                <w:sz w:val="19"/>
                <w:szCs w:val="19"/>
              </w:rPr>
              <w:t xml:space="preserve">NY Tuition Assistance Program</w:t>
            </w:r>
          </w:p>
        </w:tc>
        <w:tc>
          <w:tcPr>
            <w:tcW w:type="dxa" w:w="3600"/>
            <w:tcMar>
              <w:top w:type="dxa" w:w="80"/>
              <w:left w:type="dxa" w:w="100"/>
              <w:bottom w:type="dxa" w:w="80"/>
              <w:right w:type="dxa" w:w="100"/>
            </w:tcMar>
          </w:tcPr>
          <w:p>
            <w:r>
              <w:rPr>
                <w:sz w:val="19"/>
                <w:szCs w:val="19"/>
              </w:rPr>
              <w:t xml:space="preserve">income tiers by dependency status</w:t>
            </w:r>
          </w:p>
        </w:tc>
      </w:tr>
    </w:tbl>
    <w:p>
      <w:pPr>
        <w:spacing w:after="120" w:before="120"/>
      </w:pPr>
      <w:r>
        <w:rPr>
          <w:sz w:val="20"/>
          <w:szCs w:val="20"/>
        </w:rPr>
        <w:t xml:space="preserve">Numbers are as reported by official sources at research time (mid-2026) — re-verify against the live source URL in each file before treating any figure as final, since aid thresholds change year to year.</w:t>
      </w:r>
    </w:p>
    <w:p>
      <w:pPr>
        <w:pStyle w:val="Heading1"/>
        <w:spacing w:after="120" w:before="280"/>
      </w:pPr>
      <w:r>
        <w:rPr>
          <w:b/>
          <w:bCs/>
          <w:color w:val="2e74b5"/>
          <w:sz w:val="30"/>
          <w:szCs w:val="30"/>
        </w:rPr>
        <w:t xml:space="preserve">Open decisions before starting</w:t>
      </w:r>
    </w:p>
    <w:p>
      <w:pPr>
        <w:pStyle w:val="ListParagraph"/>
        <w:numPr>
          <w:ilvl w:val="0"/>
          <w:numId w:val="1"/>
        </w:numPr>
        <w:spacing w:after="80" w:line="264"/>
      </w:pPr>
      <w:r>
        <w:rPr>
          <w:sz w:val="20"/>
          <w:szCs w:val="20"/>
        </w:rPr>
        <w:t xml:space="preserve">OpenAI embeddings (design doc default) vs reusing sentence-transformers to save API cost — confirm key access first (note: .env already has OPENAI_API_KEY set, so this looks resolved)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2026-07-19T16:22:24.866Z</dcterms:created>
  <dcterms:modified xsi:type="dcterms:W3CDTF">2026-07-19T16:22:24.871Z</dcterms:modified>
</cp:coreProperties>
</file>

<file path=docProps/custom.xml><?xml version="1.0" encoding="utf-8"?>
<Properties xmlns="http://schemas.openxmlformats.org/officeDocument/2006/custom-properties" xmlns:vt="http://schemas.openxmlformats.org/officeDocument/2006/docPropsVTypes"/>
</file>