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Contract Risk Analysis Report</w:t>
      </w:r>
    </w:p>
    <w:p>
      <w:r>
        <w:t>Filename: Untitled document.docx</w:t>
      </w:r>
    </w:p>
    <w:p>
      <w:r>
        <w:t>Generated: 10 Jul 2026, 05:02 AM</w:t>
      </w:r>
    </w:p>
    <w:p>
      <w:pPr>
        <w:pStyle w:val="Heading1"/>
      </w:pPr>
      <w:r>
        <w:t>1. Document Information</w:t>
      </w:r>
    </w:p>
    <w:p>
      <w:r>
        <w:t>Filename: Untitled document.docx</w:t>
      </w:r>
    </w:p>
    <w:p>
      <w:r>
        <w:t>File Type: docx</w:t>
      </w:r>
    </w:p>
    <w:p>
      <w:r>
        <w:t>Upload Date: 2026-07-10 12:01:32.858109</w:t>
      </w:r>
    </w:p>
    <w:p>
      <w:pPr>
        <w:pStyle w:val="Heading1"/>
      </w:pPr>
      <w:r>
        <w:t>2. Contract Analysis</w:t>
      </w:r>
    </w:p>
    <w:p>
      <w:r>
        <w:rPr>
          <w:b/>
        </w:rPr>
        <w:t xml:space="preserve">Contract Type: </w:t>
      </w:r>
      <w:r>
        <w:t>Service Agreement</w:t>
      </w:r>
    </w:p>
    <w:p>
      <w:r>
        <w:rPr>
          <w:b/>
        </w:rPr>
        <w:t xml:space="preserve">Parties: </w:t>
      </w:r>
      <w:r>
        <w:t>["TechNova Solutions Pvt. Ltd.", "BrightEdge Consulting Services"]</w:t>
      </w:r>
    </w:p>
    <w:p>
      <w:r>
        <w:rPr>
          <w:b/>
        </w:rPr>
        <w:t xml:space="preserve">Effective Date: </w:t>
      </w:r>
      <w:r>
        <w:t>2025-01-15</w:t>
      </w:r>
    </w:p>
    <w:p>
      <w:r>
        <w:rPr>
          <w:b/>
        </w:rPr>
        <w:t xml:space="preserve">Expiry Date: </w:t>
      </w:r>
      <w:r>
        <w:t>2026-01-14</w:t>
      </w:r>
    </w:p>
    <w:p>
      <w:r>
        <w:rPr>
          <w:b/>
        </w:rPr>
        <w:t xml:space="preserve">Payment Terms: </w:t>
      </w:r>
      <w:r>
        <w:t>The Client agrees to pay the Service Provider a monthly fee of PKR 250,000, payable within fifteen (15) days of receipt of invoice. Late payments shall accrue interest at a rate of 2% per month. All payments are non-refundable once services have been rendered.</w:t>
      </w:r>
    </w:p>
    <w:p>
      <w:r>
        <w:rPr>
          <w:b/>
        </w:rPr>
        <w:t xml:space="preserve">Renewal Clause: </w:t>
      </w:r>
      <w:r>
        <w:t>This Agreement shall automatically renew for successive twelve (12) month periods unless either party provides written notice of non-renewal at least sixty (60) days prior to the end of the then-current term.</w:t>
      </w:r>
    </w:p>
    <w:p>
      <w:r>
        <w:rPr>
          <w:b/>
        </w:rPr>
        <w:t xml:space="preserve">Termination Clause: </w:t>
      </w:r>
      <w:r>
        <w:t>Either party may terminate this Agreement by providing thirty (30) days written notice to the other party. The Client reserves the right to terminate this Agreement immediately, without notice, in the event of a material breach by the Service Provider.</w:t>
      </w:r>
    </w:p>
    <w:p>
      <w:r>
        <w:rPr>
          <w:b/>
        </w:rPr>
        <w:t xml:space="preserve">Confidentiality: </w:t>
      </w:r>
      <w:r>
        <w:t>Both parties agree to maintain the confidentiality of all proprietary information disclosed during the term of this Agreement. This obligation shall survive termination of this Agreement indefinitely.</w:t>
      </w:r>
    </w:p>
    <w:p>
      <w:r>
        <w:rPr>
          <w:b/>
        </w:rPr>
        <w:t xml:space="preserve">Jurisdiction: </w:t>
      </w:r>
      <w:r>
        <w:t>Laws of Pakistan; exclusive jurisdiction of the courts of Lahore, Punjab.</w:t>
      </w:r>
    </w:p>
    <w:p>
      <w:pPr>
        <w:pStyle w:val="Heading1"/>
      </w:pPr>
      <w:r>
        <w:t>3. Risk Assessment</w:t>
      </w:r>
    </w:p>
    <w:p>
      <w:r>
        <w:rPr>
          <w:b/>
        </w:rPr>
        <w:t>Overall Risk Score: 66/100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Risk Title</w:t>
            </w:r>
          </w:p>
        </w:tc>
        <w:tc>
          <w:tcPr>
            <w:tcW w:type="dxa" w:w="1728"/>
          </w:tcPr>
          <w:p>
            <w:r>
              <w:t>Level</w:t>
            </w:r>
          </w:p>
        </w:tc>
        <w:tc>
          <w:tcPr>
            <w:tcW w:type="dxa" w:w="1728"/>
          </w:tcPr>
          <w:p>
            <w:r>
              <w:t>Confidence</w:t>
            </w:r>
          </w:p>
        </w:tc>
        <w:tc>
          <w:tcPr>
            <w:tcW w:type="dxa" w:w="1728"/>
          </w:tcPr>
          <w:p>
            <w:r>
              <w:t>Explanation</w:t>
            </w:r>
          </w:p>
        </w:tc>
        <w:tc>
          <w:tcPr>
            <w:tcW w:type="dxa" w:w="1728"/>
          </w:tcPr>
          <w:p>
            <w:r>
              <w:t>Recommendation</w:t>
            </w:r>
          </w:p>
        </w:tc>
      </w:tr>
      <w:tr>
        <w:tc>
          <w:tcPr>
            <w:tcW w:type="dxa" w:w="1728"/>
          </w:tcPr>
          <w:p>
            <w:r>
              <w:t>Risk Detection Error: ResourceExhausted</w:t>
            </w:r>
          </w:p>
        </w:tc>
        <w:tc>
          <w:tcPr>
            <w:tcW w:type="dxa" w:w="1728"/>
          </w:tcPr>
          <w:p>
            <w:r>
              <w:t>Medium</w:t>
            </w:r>
          </w:p>
        </w:tc>
        <w:tc>
          <w:tcPr>
            <w:tcW w:type="dxa" w:w="1728"/>
          </w:tcPr>
          <w:p>
            <w:r>
              <w:t>80%</w:t>
            </w:r>
          </w:p>
        </w:tc>
        <w:tc>
          <w:tcPr>
            <w:tcW w:type="dxa" w:w="1728"/>
          </w:tcPr>
          <w:p>
            <w:r>
              <w:t>API quota exceeded or rate limit reached during risk detection.</w:t>
            </w:r>
          </w:p>
        </w:tc>
        <w:tc>
          <w:tcPr>
            <w:tcW w:type="dxa" w:w="1728"/>
          </w:tcPr>
          <w:p>
            <w:r>
              <w:t>Wait a few minutes and try again, or check your Gemini API quota.</w:t>
            </w:r>
          </w:p>
        </w:tc>
      </w:tr>
    </w:tbl>
    <w:p>
      <w:pPr>
        <w:pStyle w:val="Heading1"/>
      </w:pPr>
      <w:r>
        <w:t>4. Executive Summary</w:t>
      </w:r>
    </w:p>
    <w:p>
      <w:r>
        <w:t>Error generating summary: API quota exceeded or rate limit reached.</w:t>
      </w:r>
    </w:p>
    <w:p>
      <w:r>
        <w:rPr>
          <w:b/>
        </w:rPr>
        <w:t xml:space="preserve">Payment Summary: </w:t>
      </w:r>
      <w:r>
        <w:t>Not available</w:t>
      </w:r>
    </w:p>
    <w:p>
      <w:r>
        <w:rPr>
          <w:b/>
        </w:rPr>
        <w:t xml:space="preserve">Termination Summary: </w:t>
      </w:r>
      <w:r>
        <w:t>Not available</w:t>
      </w:r>
    </w:p>
    <w:p>
      <w:r>
        <w:rPr>
          <w:b/>
        </w:rPr>
        <w:t xml:space="preserve">Risk Summary: </w:t>
      </w:r>
      <w:r>
        <w:t>Not available</w:t>
      </w:r>
    </w:p>
    <w:p>
      <w:pPr>
        <w:pStyle w:val="Heading1"/>
      </w:pPr>
      <w:r>
        <w:t>5. Recommended Actions</w:t>
      </w:r>
    </w:p>
    <w:p>
      <w:pPr>
        <w:pStyle w:val="ListNumber"/>
      </w:pPr>
      <w:r>
        <w:t>Wait a few minutes and try again.</w:t>
      </w:r>
    </w:p>
    <w:p>
      <w:pPr>
        <w:jc w:val="center"/>
      </w:pPr>
      <w:r>
        <w:rPr>
          <w:i/>
        </w:rPr>
        <w:t>Generated by AI Contract Risk Analyzer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