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241" w:rsidRPr="000C5241" w:rsidRDefault="000C5241" w:rsidP="000C5241">
      <w:pPr>
        <w:pBdr>
          <w:bottom w:val="single" w:sz="24" w:space="2" w:color="2095E4"/>
        </w:pBdr>
        <w:spacing w:before="450" w:after="0" w:line="240" w:lineRule="auto"/>
        <w:outlineLvl w:val="0"/>
        <w:rPr>
          <w:rFonts w:ascii="Arial" w:eastAsia="Times New Roman" w:hAnsi="Arial" w:cs="Arial"/>
          <w:b/>
          <w:bCs/>
          <w:color w:val="000000"/>
          <w:kern w:val="36"/>
          <w:sz w:val="20"/>
          <w:szCs w:val="20"/>
          <w:lang w:eastAsia="fr-FR"/>
        </w:rPr>
      </w:pPr>
      <w:r w:rsidRPr="000C5241">
        <w:rPr>
          <w:rFonts w:ascii="Arial" w:eastAsia="Times New Roman" w:hAnsi="Arial" w:cs="Arial"/>
          <w:b/>
          <w:bCs/>
          <w:color w:val="000000"/>
          <w:kern w:val="36"/>
          <w:sz w:val="20"/>
          <w:szCs w:val="20"/>
          <w:lang w:eastAsia="fr-FR"/>
        </w:rPr>
        <w:t>Statut du gérant d'EURL</w:t>
      </w:r>
    </w:p>
    <w:p w:rsidR="000C5241" w:rsidRPr="000C5241" w:rsidRDefault="000C5241" w:rsidP="000C5241">
      <w:pPr>
        <w:numPr>
          <w:ilvl w:val="0"/>
          <w:numId w:val="1"/>
        </w:numPr>
        <w:pBdr>
          <w:left w:val="single" w:sz="6" w:space="2" w:color="DCDCDC"/>
          <w:bottom w:val="single" w:sz="6" w:space="2" w:color="DCDCDC"/>
          <w:right w:val="single" w:sz="6" w:space="0" w:color="DCDCDC"/>
        </w:pBdr>
        <w:shd w:val="clear" w:color="auto" w:fill="FFFFFF"/>
        <w:spacing w:after="0" w:line="240" w:lineRule="auto"/>
        <w:ind w:left="0"/>
        <w:rPr>
          <w:rFonts w:ascii="Arial" w:eastAsia="Times New Roman" w:hAnsi="Arial" w:cs="Arial"/>
          <w:color w:val="000000"/>
          <w:sz w:val="18"/>
          <w:szCs w:val="18"/>
          <w:lang w:eastAsia="fr-FR"/>
        </w:rPr>
      </w:pPr>
      <w:hyperlink r:id="rId5" w:anchor="toc1" w:history="1">
        <w:r w:rsidRPr="000C5241">
          <w:rPr>
            <w:rFonts w:ascii="Arial" w:eastAsia="Times New Roman" w:hAnsi="Arial" w:cs="Arial"/>
            <w:color w:val="0000FF"/>
            <w:sz w:val="18"/>
            <w:lang w:eastAsia="fr-FR"/>
          </w:rPr>
          <w:t>L'associé unique d'EURL</w:t>
        </w:r>
      </w:hyperlink>
    </w:p>
    <w:p w:rsidR="000C5241" w:rsidRPr="000C5241" w:rsidRDefault="000C5241" w:rsidP="000C5241">
      <w:pPr>
        <w:numPr>
          <w:ilvl w:val="0"/>
          <w:numId w:val="1"/>
        </w:numPr>
        <w:pBdr>
          <w:left w:val="single" w:sz="6" w:space="2" w:color="DCDCDC"/>
          <w:bottom w:val="single" w:sz="6" w:space="2" w:color="DCDCDC"/>
          <w:right w:val="single" w:sz="6" w:space="0" w:color="DCDCDC"/>
        </w:pBdr>
        <w:shd w:val="clear" w:color="auto" w:fill="FFFFFF"/>
        <w:spacing w:after="0" w:line="240" w:lineRule="auto"/>
        <w:ind w:left="0"/>
        <w:rPr>
          <w:rFonts w:ascii="Arial" w:eastAsia="Times New Roman" w:hAnsi="Arial" w:cs="Arial"/>
          <w:color w:val="000000"/>
          <w:sz w:val="18"/>
          <w:szCs w:val="18"/>
          <w:lang w:eastAsia="fr-FR"/>
        </w:rPr>
      </w:pPr>
      <w:hyperlink r:id="rId6" w:anchor="toc2" w:history="1">
        <w:r w:rsidRPr="000C5241">
          <w:rPr>
            <w:rFonts w:ascii="Arial" w:eastAsia="Times New Roman" w:hAnsi="Arial" w:cs="Arial"/>
            <w:color w:val="0000FF"/>
            <w:sz w:val="18"/>
            <w:lang w:eastAsia="fr-FR"/>
          </w:rPr>
          <w:t>Le gérant de l'EURL non associé (salarié)</w:t>
        </w:r>
      </w:hyperlink>
    </w:p>
    <w:p w:rsidR="000C5241" w:rsidRDefault="000C5241" w:rsidP="000C5241">
      <w:pPr>
        <w:pStyle w:val="Titre3"/>
        <w:shd w:val="clear" w:color="auto" w:fill="FFFFFF"/>
        <w:rPr>
          <w:rFonts w:ascii="Arial" w:hAnsi="Arial" w:cs="Arial"/>
          <w:color w:val="000000"/>
        </w:rPr>
      </w:pPr>
      <w:r>
        <w:rPr>
          <w:rStyle w:val="apple-converted-space"/>
          <w:rFonts w:ascii="Arial" w:hAnsi="Arial" w:cs="Arial"/>
          <w:color w:val="000000"/>
        </w:rPr>
        <w:t> </w:t>
      </w:r>
      <w:r>
        <w:rPr>
          <w:rFonts w:ascii="Arial" w:hAnsi="Arial" w:cs="Arial"/>
          <w:color w:val="000000"/>
        </w:rPr>
        <w:t>Rappels</w:t>
      </w:r>
    </w:p>
    <w:p w:rsidR="000C5241" w:rsidRPr="000C5241" w:rsidRDefault="000C5241" w:rsidP="000C5241">
      <w:pPr>
        <w:pStyle w:val="Titre3"/>
        <w:shd w:val="clear" w:color="auto" w:fill="FFFFFF"/>
        <w:rPr>
          <w:rFonts w:ascii="Arial" w:hAnsi="Arial" w:cs="Arial"/>
          <w:color w:val="000000"/>
        </w:rPr>
      </w:pPr>
      <w:r>
        <w:rPr>
          <w:rFonts w:ascii="Arial" w:hAnsi="Arial" w:cs="Arial"/>
          <w:noProof/>
          <w:color w:val="000000"/>
          <w:sz w:val="18"/>
          <w:szCs w:val="18"/>
        </w:rPr>
        <w:drawing>
          <wp:inline distT="0" distB="0" distL="0" distR="0">
            <wp:extent cx="57150" cy="85725"/>
            <wp:effectExtent l="19050" t="0" r="0" b="0"/>
            <wp:docPr id="1" name="Image 1" descr="http://media.apce.com/design/front_office_apce/images/newpuce-2/tri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apce.com/design/front_office_apce/images/newpuce-2/triangle.gif"/>
                    <pic:cNvPicPr>
                      <a:picLocks noChangeAspect="1" noChangeArrowheads="1"/>
                    </pic:cNvPicPr>
                  </pic:nvPicPr>
                  <pic:blipFill>
                    <a:blip r:embed="rId7" cstate="print"/>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Arial" w:hAnsi="Arial" w:cs="Arial"/>
          <w:color w:val="000000"/>
          <w:sz w:val="18"/>
          <w:szCs w:val="18"/>
        </w:rPr>
        <w:t> </w:t>
      </w:r>
      <w:r>
        <w:rPr>
          <w:rFonts w:ascii="Arial" w:hAnsi="Arial" w:cs="Arial"/>
          <w:color w:val="000000"/>
          <w:sz w:val="18"/>
          <w:szCs w:val="18"/>
        </w:rPr>
        <w:t>Une EURL est une SARL dans laquelle la totalité des parts sociales est détenue par un associé unique.</w:t>
      </w:r>
      <w:r>
        <w:rPr>
          <w:rFonts w:ascii="Arial" w:hAnsi="Arial" w:cs="Arial"/>
          <w:color w:val="000000"/>
          <w:sz w:val="18"/>
          <w:szCs w:val="18"/>
        </w:rPr>
        <w:br/>
      </w:r>
      <w:r>
        <w:rPr>
          <w:rFonts w:ascii="Arial" w:hAnsi="Arial" w:cs="Arial"/>
          <w:noProof/>
          <w:color w:val="000000"/>
          <w:sz w:val="18"/>
          <w:szCs w:val="18"/>
        </w:rPr>
        <w:drawing>
          <wp:inline distT="0" distB="0" distL="0" distR="0">
            <wp:extent cx="57150" cy="85725"/>
            <wp:effectExtent l="19050" t="0" r="0" b="0"/>
            <wp:docPr id="2" name="Image 2" descr="http://media.apce.com/design/front_office_apce/images/newpuce-2/tri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apce.com/design/front_office_apce/images/newpuce-2/triangle.gif"/>
                    <pic:cNvPicPr>
                      <a:picLocks noChangeAspect="1" noChangeArrowheads="1"/>
                    </pic:cNvPicPr>
                  </pic:nvPicPr>
                  <pic:blipFill>
                    <a:blip r:embed="rId7" cstate="print"/>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Arial" w:hAnsi="Arial" w:cs="Arial"/>
          <w:color w:val="000000"/>
          <w:sz w:val="18"/>
          <w:szCs w:val="18"/>
        </w:rPr>
        <w:t> </w:t>
      </w:r>
      <w:r>
        <w:rPr>
          <w:rFonts w:ascii="Arial" w:hAnsi="Arial" w:cs="Arial"/>
          <w:color w:val="000000"/>
          <w:sz w:val="18"/>
          <w:szCs w:val="18"/>
        </w:rPr>
        <w:t>Cet associé unique peut exercer les fonctions de gérant ou les confier à un tiers (situation rare).</w:t>
      </w:r>
      <w:r>
        <w:rPr>
          <w:rFonts w:ascii="Arial" w:hAnsi="Arial" w:cs="Arial"/>
          <w:color w:val="000000"/>
          <w:sz w:val="18"/>
          <w:szCs w:val="18"/>
        </w:rPr>
        <w:br/>
      </w:r>
      <w:r>
        <w:rPr>
          <w:rFonts w:ascii="Arial" w:hAnsi="Arial" w:cs="Arial"/>
          <w:noProof/>
          <w:color w:val="000000"/>
          <w:sz w:val="18"/>
          <w:szCs w:val="18"/>
        </w:rPr>
        <w:drawing>
          <wp:inline distT="0" distB="0" distL="0" distR="0">
            <wp:extent cx="57150" cy="85725"/>
            <wp:effectExtent l="19050" t="0" r="0" b="0"/>
            <wp:docPr id="3" name="Image 3" descr="http://media.apce.com/design/front_office_apce/images/newpuce-2/tri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apce.com/design/front_office_apce/images/newpuce-2/triangle.gif"/>
                    <pic:cNvPicPr>
                      <a:picLocks noChangeAspect="1" noChangeArrowheads="1"/>
                    </pic:cNvPicPr>
                  </pic:nvPicPr>
                  <pic:blipFill>
                    <a:blip r:embed="rId7" cstate="print"/>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Arial" w:hAnsi="Arial" w:cs="Arial"/>
          <w:color w:val="000000"/>
          <w:sz w:val="18"/>
          <w:szCs w:val="18"/>
        </w:rPr>
        <w:t> </w:t>
      </w:r>
      <w:r>
        <w:rPr>
          <w:rFonts w:ascii="Arial" w:hAnsi="Arial" w:cs="Arial"/>
          <w:color w:val="000000"/>
          <w:sz w:val="18"/>
          <w:szCs w:val="18"/>
        </w:rPr>
        <w:t>En principe, l'EURL est soumise à l'impôt sur le revenu (IR). Mais, elle est soumise à l'impôt sur les sociétés (IS) lorsque :</w:t>
      </w:r>
      <w:r>
        <w:rPr>
          <w:rFonts w:ascii="Arial" w:hAnsi="Arial" w:cs="Arial"/>
          <w:color w:val="000000"/>
          <w:sz w:val="18"/>
          <w:szCs w:val="18"/>
        </w:rPr>
        <w:br/>
        <w:t>-  l'associé unique est une personne morale,</w:t>
      </w:r>
      <w:r>
        <w:rPr>
          <w:rFonts w:ascii="Arial" w:hAnsi="Arial" w:cs="Arial"/>
          <w:color w:val="000000"/>
          <w:sz w:val="18"/>
          <w:szCs w:val="18"/>
        </w:rPr>
        <w:br/>
        <w:t>-  l'associé unique, personne physique, a opté pour ce type d'imposition. L'option est dans ce cas définitive.</w:t>
      </w:r>
      <w:r>
        <w:rPr>
          <w:rFonts w:ascii="Arial" w:hAnsi="Arial" w:cs="Arial"/>
          <w:color w:val="000000"/>
          <w:sz w:val="18"/>
          <w:szCs w:val="18"/>
        </w:rPr>
        <w:br/>
      </w:r>
      <w:r>
        <w:rPr>
          <w:rFonts w:ascii="Arial" w:hAnsi="Arial" w:cs="Arial"/>
          <w:color w:val="000000"/>
        </w:rPr>
        <w:br/>
      </w:r>
      <w:r>
        <w:rPr>
          <w:rFonts w:ascii="Arial" w:hAnsi="Arial" w:cs="Arial"/>
          <w:noProof/>
          <w:color w:val="000000"/>
          <w:lang w:eastAsia="fr-FR"/>
        </w:rPr>
        <w:drawing>
          <wp:inline distT="0" distB="0" distL="0" distR="0">
            <wp:extent cx="161925" cy="152400"/>
            <wp:effectExtent l="19050" t="0" r="9525" b="0"/>
            <wp:docPr id="4" name="Image 4" descr="http://media.apce.com/design/front_office_apce/images/newpuce-2/pu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apce.com/design/front_office_apce/images/newpuce-2/puce.gif"/>
                    <pic:cNvPicPr>
                      <a:picLocks noChangeAspect="1" noChangeArrowheads="1"/>
                    </pic:cNvPicPr>
                  </pic:nvPicPr>
                  <pic:blipFill>
                    <a:blip r:embed="rId8" cstate="print"/>
                    <a:srcRect/>
                    <a:stretch>
                      <a:fillRect/>
                    </a:stretch>
                  </pic:blipFill>
                  <pic:spPr bwMode="auto">
                    <a:xfrm>
                      <a:off x="0" y="0"/>
                      <a:ext cx="161925" cy="152400"/>
                    </a:xfrm>
                    <a:prstGeom prst="rect">
                      <a:avLst/>
                    </a:prstGeom>
                    <a:noFill/>
                    <a:ln w="9525">
                      <a:noFill/>
                      <a:miter lim="800000"/>
                      <a:headEnd/>
                      <a:tailEnd/>
                    </a:ln>
                  </pic:spPr>
                </pic:pic>
              </a:graphicData>
            </a:graphic>
          </wp:inline>
        </w:drawing>
      </w:r>
      <w:bookmarkStart w:id="0" w:name="toc1"/>
      <w:bookmarkEnd w:id="0"/>
      <w:r>
        <w:rPr>
          <w:rFonts w:ascii="Arial" w:hAnsi="Arial" w:cs="Arial"/>
          <w:color w:val="000000"/>
        </w:rPr>
        <w:t xml:space="preserve">  L'associé unique d'EURL : </w:t>
      </w:r>
      <w:r>
        <w:rPr>
          <w:rFonts w:ascii="Arial" w:hAnsi="Arial" w:cs="Arial"/>
          <w:color w:val="000000"/>
          <w:sz w:val="18"/>
          <w:szCs w:val="18"/>
        </w:rPr>
        <w:t>L'associé unique ne peut jamais être titulaire d'un contrat de travail puisqu'il détient la totalité des parts sociales. La condition relative au lien de subordination ne serait pas remplie.</w:t>
      </w:r>
    </w:p>
    <w:p w:rsidR="000C5241" w:rsidRDefault="000C5241" w:rsidP="000C5241">
      <w:pPr>
        <w:pStyle w:val="NormalWeb"/>
        <w:shd w:val="clear" w:color="auto" w:fill="FFFFFF"/>
        <w:rPr>
          <w:rFonts w:ascii="Arial" w:hAnsi="Arial" w:cs="Arial"/>
          <w:color w:val="000000"/>
          <w:sz w:val="18"/>
          <w:szCs w:val="18"/>
        </w:rPr>
      </w:pPr>
      <w:r>
        <w:rPr>
          <w:rFonts w:ascii="Arial" w:hAnsi="Arial" w:cs="Arial"/>
          <w:b/>
          <w:bCs/>
          <w:noProof/>
          <w:color w:val="000000"/>
          <w:sz w:val="18"/>
          <w:szCs w:val="18"/>
        </w:rPr>
        <w:drawing>
          <wp:inline distT="0" distB="0" distL="0" distR="0">
            <wp:extent cx="114300" cy="104775"/>
            <wp:effectExtent l="19050" t="0" r="0" b="0"/>
            <wp:docPr id="5" name="Image 5" descr="http://media.apce.com/design/front_office_apce/images/newpuce-2/petite_pu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ia.apce.com/design/front_office_apce/images/newpuce-2/petite_puce.gif"/>
                    <pic:cNvPicPr>
                      <a:picLocks noChangeAspect="1" noChangeArrowheads="1"/>
                    </pic:cNvPicPr>
                  </pic:nvPicPr>
                  <pic:blipFill>
                    <a:blip r:embed="rId9"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Pr>
          <w:rStyle w:val="lev"/>
          <w:rFonts w:ascii="Arial" w:hAnsi="Arial" w:cs="Arial"/>
          <w:color w:val="000000"/>
          <w:sz w:val="18"/>
          <w:szCs w:val="18"/>
        </w:rPr>
        <w:t>  Régime social</w:t>
      </w:r>
    </w:p>
    <w:p w:rsidR="000C5241" w:rsidRDefault="000C5241" w:rsidP="000C5241">
      <w:pPr>
        <w:pStyle w:val="NormalWeb"/>
        <w:shd w:val="clear" w:color="auto" w:fill="FFFFFF"/>
        <w:rPr>
          <w:rFonts w:ascii="Arial" w:hAnsi="Arial" w:cs="Arial"/>
          <w:color w:val="000000"/>
          <w:sz w:val="18"/>
          <w:szCs w:val="18"/>
        </w:rPr>
      </w:pPr>
      <w:r>
        <w:rPr>
          <w:rFonts w:ascii="Arial" w:hAnsi="Arial" w:cs="Arial"/>
          <w:color w:val="000000"/>
          <w:sz w:val="18"/>
          <w:szCs w:val="18"/>
        </w:rPr>
        <w:t>S'il exerce une activité professionnelle au sein de l'entreprise (quelle que soit cette activité), l'associé unique relève du</w:t>
      </w:r>
      <w:r>
        <w:rPr>
          <w:rStyle w:val="apple-converted-space"/>
          <w:rFonts w:ascii="Arial" w:hAnsi="Arial" w:cs="Arial"/>
          <w:color w:val="000000"/>
          <w:sz w:val="18"/>
          <w:szCs w:val="18"/>
        </w:rPr>
        <w:t> </w:t>
      </w:r>
      <w:hyperlink r:id="rId10" w:tgtFrame="_blank" w:history="1">
        <w:r>
          <w:rPr>
            <w:rStyle w:val="Lienhypertexte"/>
            <w:rFonts w:ascii="Arial" w:hAnsi="Arial" w:cs="Arial"/>
            <w:sz w:val="18"/>
            <w:szCs w:val="18"/>
          </w:rPr>
          <w:t>régime des travailleurs non-salariés</w:t>
        </w:r>
      </w:hyperlink>
      <w:r>
        <w:rPr>
          <w:rFonts w:ascii="Arial" w:hAnsi="Arial" w:cs="Arial"/>
          <w:color w:val="000000"/>
          <w:sz w:val="18"/>
          <w:szCs w:val="18"/>
        </w:rPr>
        <w:t>.</w:t>
      </w:r>
      <w:r>
        <w:rPr>
          <w:rFonts w:ascii="Arial" w:hAnsi="Arial" w:cs="Arial"/>
          <w:color w:val="000000"/>
          <w:sz w:val="18"/>
          <w:szCs w:val="18"/>
        </w:rPr>
        <w:br/>
        <w:t>Il est donc affilié et doit cotiser aux mêmes caisses que :</w:t>
      </w:r>
      <w:r>
        <w:rPr>
          <w:rFonts w:ascii="Arial" w:hAnsi="Arial" w:cs="Arial"/>
          <w:color w:val="000000"/>
          <w:sz w:val="18"/>
          <w:szCs w:val="18"/>
        </w:rPr>
        <w:br/>
        <w:t>- les commerçants, si la société a un objet commercial ou industriel,</w:t>
      </w:r>
      <w:r>
        <w:rPr>
          <w:rFonts w:ascii="Arial" w:hAnsi="Arial" w:cs="Arial"/>
          <w:color w:val="000000"/>
          <w:sz w:val="18"/>
          <w:szCs w:val="18"/>
        </w:rPr>
        <w:br/>
        <w:t>- les artisans, si la société a un objet artisanal,</w:t>
      </w:r>
      <w:r>
        <w:rPr>
          <w:rFonts w:ascii="Arial" w:hAnsi="Arial" w:cs="Arial"/>
          <w:color w:val="000000"/>
          <w:sz w:val="18"/>
          <w:szCs w:val="18"/>
        </w:rPr>
        <w:br/>
        <w:t>- les professions libérales, si la société a un objet libéral.</w:t>
      </w:r>
      <w:r>
        <w:rPr>
          <w:rFonts w:ascii="Arial" w:hAnsi="Arial" w:cs="Arial"/>
          <w:color w:val="000000"/>
          <w:sz w:val="18"/>
          <w:szCs w:val="18"/>
        </w:rPr>
        <w:br/>
      </w:r>
      <w:r>
        <w:rPr>
          <w:rFonts w:ascii="Arial" w:hAnsi="Arial" w:cs="Arial"/>
          <w:color w:val="000000"/>
          <w:sz w:val="18"/>
          <w:szCs w:val="18"/>
        </w:rPr>
        <w:br/>
        <w:t>Par conséquent :</w:t>
      </w:r>
      <w:r>
        <w:rPr>
          <w:rFonts w:ascii="Arial" w:hAnsi="Arial" w:cs="Arial"/>
          <w:color w:val="000000"/>
          <w:sz w:val="18"/>
          <w:szCs w:val="18"/>
        </w:rPr>
        <w:br/>
        <w:t>- Il est soumis au versement d'une cotisation minimale au titre de l'assurance maladie et de la retraite, même en l'absence de rémunération sauf cas particulier.</w:t>
      </w:r>
      <w:r>
        <w:rPr>
          <w:rFonts w:ascii="Arial" w:hAnsi="Arial" w:cs="Arial"/>
          <w:color w:val="000000"/>
          <w:sz w:val="18"/>
          <w:szCs w:val="18"/>
        </w:rPr>
        <w:br/>
        <w:t>- Il ne bénéficie pas de l'assurance chômage mais peut contracter une assurance volontaire personnelle.</w:t>
      </w:r>
      <w:r>
        <w:rPr>
          <w:rFonts w:ascii="Arial" w:hAnsi="Arial" w:cs="Arial"/>
          <w:color w:val="000000"/>
          <w:sz w:val="18"/>
          <w:szCs w:val="18"/>
        </w:rPr>
        <w:br/>
        <w:t xml:space="preserve">- Il cotise </w:t>
      </w:r>
      <w:proofErr w:type="gramStart"/>
      <w:r>
        <w:rPr>
          <w:rFonts w:ascii="Arial" w:hAnsi="Arial" w:cs="Arial"/>
          <w:color w:val="000000"/>
          <w:sz w:val="18"/>
          <w:szCs w:val="18"/>
        </w:rPr>
        <w:t>:</w:t>
      </w:r>
      <w:r>
        <w:rPr>
          <w:rFonts w:ascii="Arial" w:hAnsi="Arial" w:cs="Arial"/>
          <w:color w:val="000000"/>
          <w:sz w:val="18"/>
          <w:szCs w:val="18"/>
        </w:rPr>
        <w:br/>
        <w:t>.</w:t>
      </w:r>
      <w:proofErr w:type="gramEnd"/>
      <w:r>
        <w:rPr>
          <w:rFonts w:ascii="Arial" w:hAnsi="Arial" w:cs="Arial"/>
          <w:color w:val="000000"/>
          <w:sz w:val="18"/>
          <w:szCs w:val="18"/>
        </w:rPr>
        <w:t xml:space="preserve"> sur la totalité du bénéfice de l'EURL si celle-ci est soumise à </w:t>
      </w:r>
      <w:proofErr w:type="gramStart"/>
      <w:r>
        <w:rPr>
          <w:rFonts w:ascii="Arial" w:hAnsi="Arial" w:cs="Arial"/>
          <w:color w:val="000000"/>
          <w:sz w:val="18"/>
          <w:szCs w:val="18"/>
        </w:rPr>
        <w:t>l'IR,</w:t>
      </w:r>
      <w:r>
        <w:rPr>
          <w:rFonts w:ascii="Arial" w:hAnsi="Arial" w:cs="Arial"/>
          <w:color w:val="000000"/>
          <w:sz w:val="18"/>
          <w:szCs w:val="18"/>
        </w:rPr>
        <w:br/>
        <w:t>.</w:t>
      </w:r>
      <w:proofErr w:type="gramEnd"/>
      <w:r>
        <w:rPr>
          <w:rFonts w:ascii="Arial" w:hAnsi="Arial" w:cs="Arial"/>
          <w:color w:val="000000"/>
          <w:sz w:val="18"/>
          <w:szCs w:val="18"/>
        </w:rPr>
        <w:t xml:space="preserve"> </w:t>
      </w:r>
      <w:proofErr w:type="gramStart"/>
      <w:r>
        <w:rPr>
          <w:rFonts w:ascii="Arial" w:hAnsi="Arial" w:cs="Arial"/>
          <w:color w:val="000000"/>
          <w:sz w:val="18"/>
          <w:szCs w:val="18"/>
        </w:rPr>
        <w:t>sur</w:t>
      </w:r>
      <w:proofErr w:type="gramEnd"/>
      <w:r>
        <w:rPr>
          <w:rFonts w:ascii="Arial" w:hAnsi="Arial" w:cs="Arial"/>
          <w:color w:val="000000"/>
          <w:sz w:val="18"/>
          <w:szCs w:val="18"/>
        </w:rPr>
        <w:t xml:space="preserve"> sa rémunération, si l'EURL a opté pour l'IS.</w:t>
      </w:r>
      <w:r>
        <w:rPr>
          <w:rFonts w:ascii="Arial" w:hAnsi="Arial" w:cs="Arial"/>
          <w:color w:val="000000"/>
          <w:sz w:val="18"/>
          <w:szCs w:val="18"/>
        </w:rPr>
        <w:br/>
      </w:r>
      <w:r>
        <w:rPr>
          <w:rFonts w:ascii="Arial" w:hAnsi="Arial" w:cs="Arial"/>
          <w:color w:val="000000"/>
          <w:sz w:val="18"/>
          <w:szCs w:val="18"/>
        </w:rPr>
        <w:br/>
        <w:t>Depuis le 1er janvier 2013 :  si la société est soumise à l'IS</w:t>
      </w:r>
      <w:r>
        <w:rPr>
          <w:rStyle w:val="Accentuation"/>
          <w:rFonts w:ascii="Arial" w:hAnsi="Arial" w:cs="Arial"/>
          <w:color w:val="000000"/>
          <w:sz w:val="18"/>
          <w:szCs w:val="18"/>
        </w:rPr>
        <w:t>,</w:t>
      </w:r>
      <w:r>
        <w:rPr>
          <w:rStyle w:val="apple-converted-space"/>
          <w:rFonts w:ascii="Arial" w:hAnsi="Arial" w:cs="Arial"/>
          <w:i/>
          <w:iCs/>
          <w:color w:val="000000"/>
          <w:sz w:val="18"/>
          <w:szCs w:val="18"/>
        </w:rPr>
        <w:t> </w:t>
      </w:r>
      <w:r>
        <w:rPr>
          <w:rFonts w:ascii="Arial" w:hAnsi="Arial" w:cs="Arial"/>
          <w:color w:val="000000"/>
          <w:sz w:val="18"/>
          <w:szCs w:val="18"/>
        </w:rPr>
        <w:t>la part des dividendes perçus par le gérant ou par son conjoint, son partenaire pacsé ou ses enfants mineurs, est assujettie à cotisations sociales pour la fraction supérieure à 10 % du capital social, des primes d'émission et des sommes versées en compte courant (loi de financement de la sécurité sociale du 17 décembre 2012).</w:t>
      </w:r>
    </w:p>
    <w:p w:rsidR="000C5241" w:rsidRDefault="000C5241" w:rsidP="000C5241">
      <w:pPr>
        <w:pStyle w:val="NormalWeb"/>
        <w:shd w:val="clear" w:color="auto" w:fill="FFFFFF"/>
        <w:rPr>
          <w:rFonts w:ascii="Arial" w:hAnsi="Arial" w:cs="Arial"/>
          <w:color w:val="000000"/>
          <w:sz w:val="18"/>
          <w:szCs w:val="18"/>
        </w:rPr>
      </w:pPr>
      <w:r>
        <w:rPr>
          <w:rFonts w:ascii="Arial" w:hAnsi="Arial" w:cs="Arial"/>
          <w:b/>
          <w:bCs/>
          <w:noProof/>
          <w:color w:val="000000"/>
          <w:sz w:val="18"/>
          <w:szCs w:val="18"/>
        </w:rPr>
        <w:drawing>
          <wp:inline distT="0" distB="0" distL="0" distR="0">
            <wp:extent cx="114300" cy="104775"/>
            <wp:effectExtent l="19050" t="0" r="0" b="0"/>
            <wp:docPr id="6" name="Image 6" descr="http://media.apce.com/design/front_office_apce/images/newpuce-2/petite_pu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edia.apce.com/design/front_office_apce/images/newpuce-2/petite_puce.gif"/>
                    <pic:cNvPicPr>
                      <a:picLocks noChangeAspect="1" noChangeArrowheads="1"/>
                    </pic:cNvPicPr>
                  </pic:nvPicPr>
                  <pic:blipFill>
                    <a:blip r:embed="rId9"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Pr>
          <w:rStyle w:val="apple-converted-space"/>
          <w:rFonts w:ascii="Arial" w:hAnsi="Arial" w:cs="Arial"/>
          <w:b/>
          <w:bCs/>
          <w:color w:val="000000"/>
          <w:sz w:val="18"/>
          <w:szCs w:val="18"/>
        </w:rPr>
        <w:t> </w:t>
      </w:r>
      <w:r>
        <w:rPr>
          <w:rStyle w:val="lev"/>
          <w:rFonts w:ascii="Arial" w:hAnsi="Arial" w:cs="Arial"/>
          <w:color w:val="000000"/>
          <w:sz w:val="18"/>
          <w:szCs w:val="18"/>
        </w:rPr>
        <w:t>Régime fiscal</w:t>
      </w:r>
    </w:p>
    <w:p w:rsidR="000C5241" w:rsidRDefault="000C5241" w:rsidP="000C5241">
      <w:pPr>
        <w:pStyle w:val="NormalWeb"/>
        <w:shd w:val="clear" w:color="auto" w:fill="FFFFFF"/>
        <w:rPr>
          <w:rFonts w:ascii="Arial" w:hAnsi="Arial" w:cs="Arial"/>
          <w:color w:val="000000"/>
          <w:sz w:val="18"/>
          <w:szCs w:val="18"/>
        </w:rPr>
      </w:pPr>
      <w:r>
        <w:rPr>
          <w:rFonts w:ascii="Arial" w:hAnsi="Arial" w:cs="Arial"/>
          <w:b/>
          <w:bCs/>
          <w:noProof/>
          <w:color w:val="000000"/>
          <w:sz w:val="18"/>
          <w:szCs w:val="18"/>
        </w:rPr>
        <w:drawing>
          <wp:inline distT="0" distB="0" distL="0" distR="0">
            <wp:extent cx="57150" cy="85725"/>
            <wp:effectExtent l="19050" t="0" r="0" b="0"/>
            <wp:docPr id="7" name="Image 7" descr="http://media.apce.com/design/front_office_apce/images/newpuce-2/tri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edia.apce.com/design/front_office_apce/images/newpuce-2/triangle.gif"/>
                    <pic:cNvPicPr>
                      <a:picLocks noChangeAspect="1" noChangeArrowheads="1"/>
                    </pic:cNvPicPr>
                  </pic:nvPicPr>
                  <pic:blipFill>
                    <a:blip r:embed="rId7" cstate="print"/>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Arial" w:hAnsi="Arial" w:cs="Arial"/>
          <w:color w:val="000000"/>
          <w:sz w:val="18"/>
          <w:szCs w:val="18"/>
        </w:rPr>
        <w:t> </w:t>
      </w:r>
      <w:r>
        <w:rPr>
          <w:rFonts w:ascii="Arial" w:hAnsi="Arial" w:cs="Arial"/>
          <w:color w:val="000000"/>
          <w:sz w:val="18"/>
          <w:szCs w:val="18"/>
        </w:rPr>
        <w:t>L'EURL est en principe soumise au régime des sociétés de personnes :</w:t>
      </w:r>
      <w:r>
        <w:rPr>
          <w:rStyle w:val="apple-converted-space"/>
          <w:rFonts w:ascii="Arial" w:hAnsi="Arial" w:cs="Arial"/>
          <w:color w:val="000000"/>
          <w:sz w:val="18"/>
          <w:szCs w:val="18"/>
        </w:rPr>
        <w:t> </w:t>
      </w:r>
      <w:hyperlink r:id="rId11" w:history="1">
        <w:r>
          <w:rPr>
            <w:rStyle w:val="Lienhypertexte"/>
            <w:rFonts w:ascii="Arial" w:hAnsi="Arial" w:cs="Arial"/>
            <w:sz w:val="18"/>
            <w:szCs w:val="18"/>
          </w:rPr>
          <w:t>i</w:t>
        </w:r>
      </w:hyperlink>
      <w:hyperlink r:id="rId12" w:tgtFrame="_blank" w:history="1">
        <w:r>
          <w:rPr>
            <w:rStyle w:val="Lienhypertexte"/>
            <w:rFonts w:ascii="Arial" w:hAnsi="Arial" w:cs="Arial"/>
            <w:sz w:val="18"/>
            <w:szCs w:val="18"/>
          </w:rPr>
          <w:t>mpôt sur le revenu</w:t>
        </w:r>
      </w:hyperlink>
      <w:r>
        <w:rPr>
          <w:rFonts w:ascii="Arial" w:hAnsi="Arial" w:cs="Arial"/>
          <w:color w:val="000000"/>
          <w:sz w:val="18"/>
          <w:szCs w:val="18"/>
        </w:rPr>
        <w:t>.</w:t>
      </w:r>
    </w:p>
    <w:p w:rsidR="000C5241" w:rsidRDefault="000C5241" w:rsidP="000C5241">
      <w:pPr>
        <w:pStyle w:val="NormalWeb"/>
        <w:shd w:val="clear" w:color="auto" w:fill="FFFFFF"/>
        <w:rPr>
          <w:rFonts w:ascii="Arial" w:hAnsi="Arial" w:cs="Arial"/>
          <w:color w:val="000000"/>
          <w:sz w:val="18"/>
          <w:szCs w:val="18"/>
        </w:rPr>
      </w:pPr>
      <w:r>
        <w:rPr>
          <w:rFonts w:ascii="Arial" w:hAnsi="Arial" w:cs="Arial"/>
          <w:color w:val="000000"/>
          <w:sz w:val="18"/>
          <w:szCs w:val="18"/>
        </w:rPr>
        <w:t>Les bénéfices sociaux sont taxés au nom de l'associé unique au titre de l'impôt sur le revenu (IR) dans la catégorie qui correspond à l'activité de la société (bénéfices industriels et commerciaux si l'activité est commerciale ou artisanale, ou bénéfices non commerciaux si l'activité est libérale) et ce même si l'associé unique n'a pas effectivement disposé de ces bénéfices.</w:t>
      </w:r>
      <w:r>
        <w:rPr>
          <w:rFonts w:ascii="Arial" w:hAnsi="Arial" w:cs="Arial"/>
          <w:color w:val="000000"/>
          <w:sz w:val="18"/>
          <w:szCs w:val="18"/>
        </w:rPr>
        <w:br/>
        <w:t>La rémunération perçue par l'associé unique pour ses fonctions de gérant n'est pas déduite des bénéfices sociaux. L'EURL, lorsqu'elle relève de l'impôt sur le revenu, peut adhérer à un</w:t>
      </w:r>
      <w:r>
        <w:rPr>
          <w:rStyle w:val="apple-converted-space"/>
          <w:rFonts w:ascii="Arial" w:hAnsi="Arial" w:cs="Arial"/>
          <w:color w:val="000000"/>
          <w:sz w:val="18"/>
          <w:szCs w:val="18"/>
        </w:rPr>
        <w:t> </w:t>
      </w:r>
      <w:hyperlink r:id="rId13" w:tgtFrame="_blank" w:history="1">
        <w:r>
          <w:rPr>
            <w:rStyle w:val="Lienhypertexte"/>
            <w:rFonts w:ascii="Arial" w:hAnsi="Arial" w:cs="Arial"/>
            <w:sz w:val="18"/>
            <w:szCs w:val="18"/>
          </w:rPr>
          <w:t>centre de gestion agréé</w:t>
        </w:r>
      </w:hyperlink>
      <w:r>
        <w:rPr>
          <w:rFonts w:ascii="Arial" w:hAnsi="Arial" w:cs="Arial"/>
          <w:color w:val="000000"/>
          <w:sz w:val="18"/>
          <w:szCs w:val="18"/>
        </w:rPr>
        <w:t>.</w:t>
      </w:r>
      <w:r>
        <w:rPr>
          <w:rFonts w:ascii="Arial" w:hAnsi="Arial" w:cs="Arial"/>
          <w:color w:val="000000"/>
          <w:sz w:val="18"/>
          <w:szCs w:val="18"/>
        </w:rPr>
        <w:br/>
      </w:r>
      <w:r>
        <w:rPr>
          <w:rFonts w:ascii="Arial" w:hAnsi="Arial" w:cs="Arial"/>
          <w:color w:val="000000"/>
          <w:sz w:val="18"/>
          <w:szCs w:val="18"/>
        </w:rPr>
        <w:br/>
      </w:r>
      <w:r>
        <w:rPr>
          <w:rFonts w:ascii="Arial" w:hAnsi="Arial" w:cs="Arial"/>
          <w:b/>
          <w:bCs/>
          <w:noProof/>
          <w:color w:val="000000"/>
          <w:sz w:val="18"/>
          <w:szCs w:val="18"/>
        </w:rPr>
        <w:drawing>
          <wp:inline distT="0" distB="0" distL="0" distR="0">
            <wp:extent cx="57150" cy="85725"/>
            <wp:effectExtent l="19050" t="0" r="0" b="0"/>
            <wp:docPr id="8" name="Image 8" descr="http://media.apce.com/design/front_office_apce/images/newpuce-2/tri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edia.apce.com/design/front_office_apce/images/newpuce-2/triangle.gif"/>
                    <pic:cNvPicPr>
                      <a:picLocks noChangeAspect="1" noChangeArrowheads="1"/>
                    </pic:cNvPicPr>
                  </pic:nvPicPr>
                  <pic:blipFill>
                    <a:blip r:embed="rId7" cstate="print"/>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Arial" w:hAnsi="Arial" w:cs="Arial"/>
          <w:color w:val="000000"/>
          <w:sz w:val="18"/>
          <w:szCs w:val="18"/>
        </w:rPr>
        <w:t> </w:t>
      </w:r>
      <w:r>
        <w:rPr>
          <w:rFonts w:ascii="Arial" w:hAnsi="Arial" w:cs="Arial"/>
          <w:color w:val="000000"/>
          <w:sz w:val="18"/>
          <w:szCs w:val="18"/>
        </w:rPr>
        <w:t>Lorsque l'EURL a opté pour</w:t>
      </w:r>
      <w:r>
        <w:rPr>
          <w:rStyle w:val="apple-converted-space"/>
          <w:rFonts w:ascii="Arial" w:hAnsi="Arial" w:cs="Arial"/>
          <w:color w:val="000000"/>
          <w:sz w:val="18"/>
          <w:szCs w:val="18"/>
        </w:rPr>
        <w:t> </w:t>
      </w:r>
      <w:hyperlink r:id="rId14" w:tgtFrame="_blank" w:history="1">
        <w:r>
          <w:rPr>
            <w:rStyle w:val="Lienhypertexte"/>
            <w:rFonts w:ascii="Arial" w:hAnsi="Arial" w:cs="Arial"/>
            <w:sz w:val="18"/>
            <w:szCs w:val="18"/>
          </w:rPr>
          <w:t>l'impôt sur les sociétés</w:t>
        </w:r>
      </w:hyperlink>
      <w:r>
        <w:rPr>
          <w:rFonts w:ascii="Arial" w:hAnsi="Arial" w:cs="Arial"/>
          <w:color w:val="000000"/>
          <w:sz w:val="18"/>
          <w:szCs w:val="18"/>
        </w:rPr>
        <w:t>.</w:t>
      </w:r>
    </w:p>
    <w:p w:rsidR="000C5241" w:rsidRDefault="000C5241" w:rsidP="000C5241">
      <w:pPr>
        <w:pStyle w:val="NormalWeb"/>
        <w:shd w:val="clear" w:color="auto" w:fill="FFFFFF"/>
        <w:rPr>
          <w:rFonts w:ascii="Arial" w:hAnsi="Arial" w:cs="Arial"/>
          <w:color w:val="000000"/>
          <w:sz w:val="18"/>
          <w:szCs w:val="18"/>
        </w:rPr>
      </w:pPr>
      <w:r>
        <w:rPr>
          <w:rFonts w:ascii="Arial" w:hAnsi="Arial" w:cs="Arial"/>
          <w:color w:val="000000"/>
          <w:sz w:val="18"/>
          <w:szCs w:val="18"/>
        </w:rPr>
        <w:t>L'associé unique relève du même régime fiscal que les salariés ("traitements et salaires").</w:t>
      </w:r>
      <w:r>
        <w:rPr>
          <w:rFonts w:ascii="Arial" w:hAnsi="Arial" w:cs="Arial"/>
          <w:color w:val="000000"/>
          <w:sz w:val="18"/>
          <w:szCs w:val="18"/>
        </w:rPr>
        <w:br/>
        <w:t>Il a le choix entre déduire de ses revenus ses frais professionnels réels et justifiés ou appliquer la déduction forfaitaire de 10 % au titre des frais professionnels.</w:t>
      </w:r>
      <w:r>
        <w:rPr>
          <w:rFonts w:ascii="Arial" w:hAnsi="Arial" w:cs="Arial"/>
          <w:color w:val="000000"/>
          <w:sz w:val="18"/>
          <w:szCs w:val="18"/>
        </w:rPr>
        <w:br/>
      </w:r>
      <w:r>
        <w:rPr>
          <w:rFonts w:ascii="Arial" w:hAnsi="Arial" w:cs="Arial"/>
          <w:color w:val="000000"/>
          <w:sz w:val="18"/>
          <w:szCs w:val="18"/>
        </w:rPr>
        <w:br/>
        <w:t>Ses rémunérations sont déductibles du bénéfice lorsqu'elles ne sont pas excessives.</w:t>
      </w:r>
    </w:p>
    <w:p w:rsidR="000C5241" w:rsidRDefault="000C5241" w:rsidP="000C5241">
      <w:pPr>
        <w:pStyle w:val="Titre3"/>
        <w:shd w:val="clear" w:color="auto" w:fill="FFFFFF"/>
        <w:rPr>
          <w:rFonts w:ascii="Arial" w:hAnsi="Arial" w:cs="Arial"/>
          <w:color w:val="000000"/>
          <w:sz w:val="27"/>
          <w:szCs w:val="27"/>
        </w:rPr>
      </w:pPr>
      <w:r>
        <w:rPr>
          <w:rFonts w:ascii="Arial" w:hAnsi="Arial" w:cs="Arial"/>
          <w:color w:val="000000"/>
        </w:rPr>
        <w:lastRenderedPageBreak/>
        <w:br/>
      </w:r>
      <w:r>
        <w:rPr>
          <w:rFonts w:ascii="Arial" w:hAnsi="Arial" w:cs="Arial"/>
          <w:noProof/>
          <w:color w:val="000000"/>
          <w:lang w:eastAsia="fr-FR"/>
        </w:rPr>
        <w:drawing>
          <wp:inline distT="0" distB="0" distL="0" distR="0">
            <wp:extent cx="161925" cy="152400"/>
            <wp:effectExtent l="19050" t="0" r="9525" b="0"/>
            <wp:docPr id="9" name="Image 9" descr="http://media.apce.com/design/front_office_apce/images/newpuce-2/pu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dia.apce.com/design/front_office_apce/images/newpuce-2/puce.gif"/>
                    <pic:cNvPicPr>
                      <a:picLocks noChangeAspect="1" noChangeArrowheads="1"/>
                    </pic:cNvPicPr>
                  </pic:nvPicPr>
                  <pic:blipFill>
                    <a:blip r:embed="rId8" cstate="print"/>
                    <a:srcRect/>
                    <a:stretch>
                      <a:fillRect/>
                    </a:stretch>
                  </pic:blipFill>
                  <pic:spPr bwMode="auto">
                    <a:xfrm>
                      <a:off x="0" y="0"/>
                      <a:ext cx="161925" cy="152400"/>
                    </a:xfrm>
                    <a:prstGeom prst="rect">
                      <a:avLst/>
                    </a:prstGeom>
                    <a:noFill/>
                    <a:ln w="9525">
                      <a:noFill/>
                      <a:miter lim="800000"/>
                      <a:headEnd/>
                      <a:tailEnd/>
                    </a:ln>
                  </pic:spPr>
                </pic:pic>
              </a:graphicData>
            </a:graphic>
          </wp:inline>
        </w:drawing>
      </w:r>
      <w:bookmarkStart w:id="1" w:name="toc2"/>
      <w:bookmarkEnd w:id="1"/>
      <w:r>
        <w:rPr>
          <w:rFonts w:ascii="Arial" w:hAnsi="Arial" w:cs="Arial"/>
          <w:color w:val="000000"/>
        </w:rPr>
        <w:t>  Le gérant de l'EURL non associé (salarié)</w:t>
      </w:r>
    </w:p>
    <w:p w:rsidR="000C5241" w:rsidRDefault="000C5241" w:rsidP="000C5241">
      <w:pPr>
        <w:pStyle w:val="NormalWeb"/>
        <w:shd w:val="clear" w:color="auto" w:fill="FFFFFF"/>
        <w:rPr>
          <w:rFonts w:ascii="Arial" w:hAnsi="Arial" w:cs="Arial"/>
          <w:color w:val="000000"/>
          <w:sz w:val="18"/>
          <w:szCs w:val="18"/>
        </w:rPr>
      </w:pPr>
      <w:r>
        <w:rPr>
          <w:rFonts w:ascii="Arial" w:hAnsi="Arial" w:cs="Arial"/>
          <w:b/>
          <w:bCs/>
          <w:noProof/>
          <w:color w:val="000000"/>
          <w:sz w:val="18"/>
          <w:szCs w:val="18"/>
        </w:rPr>
        <w:drawing>
          <wp:inline distT="0" distB="0" distL="0" distR="0">
            <wp:extent cx="114300" cy="104775"/>
            <wp:effectExtent l="19050" t="0" r="0" b="0"/>
            <wp:docPr id="10" name="Image 10" descr="http://media.apce.com/design/front_office_apce/images/newpuce-2/petite_pu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edia.apce.com/design/front_office_apce/images/newpuce-2/petite_puce.gif"/>
                    <pic:cNvPicPr>
                      <a:picLocks noChangeAspect="1" noChangeArrowheads="1"/>
                    </pic:cNvPicPr>
                  </pic:nvPicPr>
                  <pic:blipFill>
                    <a:blip r:embed="rId9"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Pr>
          <w:rStyle w:val="lev"/>
          <w:rFonts w:ascii="Arial" w:hAnsi="Arial" w:cs="Arial"/>
          <w:color w:val="000000"/>
          <w:sz w:val="18"/>
          <w:szCs w:val="18"/>
        </w:rPr>
        <w:t>  Régime social</w:t>
      </w:r>
    </w:p>
    <w:p w:rsidR="000C5241" w:rsidRDefault="000C5241" w:rsidP="000C5241">
      <w:pPr>
        <w:pStyle w:val="NormalWeb"/>
        <w:shd w:val="clear" w:color="auto" w:fill="FFFFFF"/>
        <w:rPr>
          <w:rFonts w:ascii="Arial" w:hAnsi="Arial" w:cs="Arial"/>
          <w:color w:val="000000"/>
          <w:sz w:val="18"/>
          <w:szCs w:val="18"/>
        </w:rPr>
      </w:pPr>
      <w:r>
        <w:rPr>
          <w:rFonts w:ascii="Arial" w:hAnsi="Arial" w:cs="Arial"/>
          <w:noProof/>
          <w:color w:val="000000"/>
          <w:sz w:val="18"/>
          <w:szCs w:val="18"/>
        </w:rPr>
        <w:drawing>
          <wp:inline distT="0" distB="0" distL="0" distR="0">
            <wp:extent cx="57150" cy="85725"/>
            <wp:effectExtent l="19050" t="0" r="0" b="0"/>
            <wp:docPr id="11" name="Image 11" descr="http://media.apce.com/design/front_office_apce/images/newpuce-2/tri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edia.apce.com/design/front_office_apce/images/newpuce-2/triangle.gif"/>
                    <pic:cNvPicPr>
                      <a:picLocks noChangeAspect="1" noChangeArrowheads="1"/>
                    </pic:cNvPicPr>
                  </pic:nvPicPr>
                  <pic:blipFill>
                    <a:blip r:embed="rId7" cstate="print"/>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Arial" w:hAnsi="Arial" w:cs="Arial"/>
          <w:color w:val="000000"/>
          <w:sz w:val="18"/>
          <w:szCs w:val="18"/>
        </w:rPr>
        <w:t> </w:t>
      </w:r>
      <w:r>
        <w:rPr>
          <w:rFonts w:ascii="Arial" w:hAnsi="Arial" w:cs="Arial"/>
          <w:color w:val="000000"/>
          <w:sz w:val="18"/>
          <w:szCs w:val="18"/>
        </w:rPr>
        <w:t>Pour la rémunération correspondant à son mandat social, il est "assimilé salarié" :</w:t>
      </w:r>
    </w:p>
    <w:p w:rsidR="000C5241" w:rsidRDefault="000C5241" w:rsidP="000C5241">
      <w:pPr>
        <w:pStyle w:val="NormalWeb"/>
        <w:shd w:val="clear" w:color="auto" w:fill="FFFFFF"/>
        <w:rPr>
          <w:rFonts w:ascii="Arial" w:hAnsi="Arial" w:cs="Arial"/>
          <w:color w:val="000000"/>
          <w:sz w:val="18"/>
          <w:szCs w:val="18"/>
        </w:rPr>
      </w:pPr>
      <w:r>
        <w:rPr>
          <w:rFonts w:ascii="Arial" w:hAnsi="Arial" w:cs="Arial"/>
          <w:color w:val="000000"/>
          <w:sz w:val="18"/>
          <w:szCs w:val="18"/>
        </w:rPr>
        <w:t>- Il bénéficie du régime social des salariés : cotisations patronales et salariales des salariés, accidents de travail, retraite des cadres.</w:t>
      </w:r>
      <w:r>
        <w:rPr>
          <w:rFonts w:ascii="Arial" w:hAnsi="Arial" w:cs="Arial"/>
          <w:color w:val="000000"/>
          <w:sz w:val="18"/>
          <w:szCs w:val="18"/>
        </w:rPr>
        <w:br/>
        <w:t>- En revanche, il ne cotise pas à l'assurance chômage du Pôle emploi.</w:t>
      </w:r>
      <w:r>
        <w:rPr>
          <w:rFonts w:ascii="Arial" w:hAnsi="Arial" w:cs="Arial"/>
          <w:color w:val="000000"/>
          <w:sz w:val="18"/>
          <w:szCs w:val="18"/>
        </w:rPr>
        <w:br/>
        <w:t>- Il ne bénéficie pas non plus de l'indemnité compensatrice de congés payés, préavis, indemnité pour rupture abusive, ni du privilège des salariés.</w:t>
      </w:r>
      <w:r>
        <w:rPr>
          <w:rFonts w:ascii="Arial" w:hAnsi="Arial" w:cs="Arial"/>
          <w:color w:val="000000"/>
          <w:sz w:val="18"/>
          <w:szCs w:val="18"/>
        </w:rPr>
        <w:br/>
        <w:t>- Il ne peut bénéficier de la compétence du conseil de prud'hommes en cas de conflit avec la société.</w:t>
      </w:r>
    </w:p>
    <w:p w:rsidR="000C5241" w:rsidRDefault="000C5241" w:rsidP="000C5241">
      <w:pPr>
        <w:pStyle w:val="NormalWeb"/>
        <w:shd w:val="clear" w:color="auto" w:fill="FFFFFF"/>
        <w:rPr>
          <w:rFonts w:ascii="Arial" w:hAnsi="Arial" w:cs="Arial"/>
          <w:color w:val="000000"/>
          <w:sz w:val="18"/>
          <w:szCs w:val="18"/>
        </w:rPr>
      </w:pPr>
      <w:r>
        <w:rPr>
          <w:rFonts w:ascii="Arial" w:hAnsi="Arial" w:cs="Arial"/>
          <w:noProof/>
          <w:color w:val="000000"/>
          <w:sz w:val="18"/>
          <w:szCs w:val="18"/>
        </w:rPr>
        <w:drawing>
          <wp:inline distT="0" distB="0" distL="0" distR="0">
            <wp:extent cx="57150" cy="85725"/>
            <wp:effectExtent l="19050" t="0" r="0" b="0"/>
            <wp:docPr id="12" name="Image 12" descr="http://media.apce.com/design/front_office_apce/images/newpuce-2/tri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edia.apce.com/design/front_office_apce/images/newpuce-2/triangle.gif"/>
                    <pic:cNvPicPr>
                      <a:picLocks noChangeAspect="1" noChangeArrowheads="1"/>
                    </pic:cNvPicPr>
                  </pic:nvPicPr>
                  <pic:blipFill>
                    <a:blip r:embed="rId7" cstate="print"/>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Arial" w:hAnsi="Arial" w:cs="Arial"/>
          <w:color w:val="000000"/>
          <w:sz w:val="18"/>
          <w:szCs w:val="18"/>
        </w:rPr>
        <w:t> </w:t>
      </w:r>
      <w:r>
        <w:rPr>
          <w:rFonts w:ascii="Arial" w:hAnsi="Arial" w:cs="Arial"/>
          <w:color w:val="000000"/>
          <w:sz w:val="18"/>
          <w:szCs w:val="18"/>
        </w:rPr>
        <w:t>S'il est titulaire d'un contrat de travail pour des fonctions techniques distinctes de son mandat social, il est soumis au statut des salariés. Toutefois, les conditions suivantes doivent être remplies :</w:t>
      </w:r>
      <w:r>
        <w:rPr>
          <w:rFonts w:ascii="Arial" w:hAnsi="Arial" w:cs="Arial"/>
          <w:color w:val="000000"/>
          <w:sz w:val="18"/>
          <w:szCs w:val="18"/>
        </w:rPr>
        <w:br/>
        <w:t>- le contrat de travail doit correspondre à un travail effectif,</w:t>
      </w:r>
      <w:r>
        <w:rPr>
          <w:rFonts w:ascii="Arial" w:hAnsi="Arial" w:cs="Arial"/>
          <w:color w:val="000000"/>
          <w:sz w:val="18"/>
          <w:szCs w:val="18"/>
        </w:rPr>
        <w:br/>
        <w:t>- un lien de subordination doit exister entre la société et lui même.</w:t>
      </w:r>
      <w:r>
        <w:rPr>
          <w:rFonts w:ascii="Arial" w:hAnsi="Arial" w:cs="Arial"/>
          <w:color w:val="000000"/>
          <w:sz w:val="18"/>
          <w:szCs w:val="18"/>
        </w:rPr>
        <w:br/>
        <w:t>Il est prudent d'interroger préalablement le Pôle emploi à ce sujet.</w:t>
      </w:r>
    </w:p>
    <w:p w:rsidR="000C5241" w:rsidRDefault="000C5241" w:rsidP="000C5241">
      <w:pPr>
        <w:pStyle w:val="NormalWeb"/>
        <w:shd w:val="clear" w:color="auto" w:fill="FFFFFF"/>
        <w:rPr>
          <w:rFonts w:ascii="Arial" w:hAnsi="Arial" w:cs="Arial"/>
          <w:color w:val="000000"/>
          <w:sz w:val="18"/>
          <w:szCs w:val="18"/>
        </w:rPr>
      </w:pPr>
      <w:r>
        <w:rPr>
          <w:rFonts w:ascii="Arial" w:hAnsi="Arial" w:cs="Arial"/>
          <w:b/>
          <w:bCs/>
          <w:noProof/>
          <w:color w:val="000000"/>
          <w:sz w:val="18"/>
          <w:szCs w:val="18"/>
        </w:rPr>
        <w:drawing>
          <wp:inline distT="0" distB="0" distL="0" distR="0">
            <wp:extent cx="114300" cy="104775"/>
            <wp:effectExtent l="19050" t="0" r="0" b="0"/>
            <wp:docPr id="13" name="Image 13" descr="http://media.apce.com/design/front_office_apce/images/newpuce-2/petite_pu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edia.apce.com/design/front_office_apce/images/newpuce-2/petite_puce.gif"/>
                    <pic:cNvPicPr>
                      <a:picLocks noChangeAspect="1" noChangeArrowheads="1"/>
                    </pic:cNvPicPr>
                  </pic:nvPicPr>
                  <pic:blipFill>
                    <a:blip r:embed="rId9"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Pr>
          <w:rStyle w:val="lev"/>
          <w:rFonts w:ascii="Arial" w:hAnsi="Arial" w:cs="Arial"/>
          <w:color w:val="000000"/>
          <w:sz w:val="18"/>
          <w:szCs w:val="18"/>
        </w:rPr>
        <w:t>  Régime fiscal</w:t>
      </w:r>
    </w:p>
    <w:p w:rsidR="000C5241" w:rsidRDefault="000C5241" w:rsidP="000C5241">
      <w:pPr>
        <w:pStyle w:val="NormalWeb"/>
        <w:shd w:val="clear" w:color="auto" w:fill="FFFFFF"/>
        <w:rPr>
          <w:rFonts w:ascii="Arial" w:hAnsi="Arial" w:cs="Arial"/>
          <w:color w:val="000000"/>
          <w:sz w:val="18"/>
          <w:szCs w:val="18"/>
        </w:rPr>
      </w:pPr>
      <w:r>
        <w:rPr>
          <w:rFonts w:ascii="Arial" w:hAnsi="Arial" w:cs="Arial"/>
          <w:color w:val="000000"/>
          <w:sz w:val="18"/>
          <w:szCs w:val="18"/>
        </w:rPr>
        <w:t>Le gérant est imposé au titre de l'impôt sur le revenu dans la catégorie des traitements et salaires. Il bénéficie donc de la déduction de 10 % au titre des frais professionnels ou de la possibilité de déduire ses frais professionnels réels et justifiés.</w:t>
      </w:r>
      <w:r>
        <w:rPr>
          <w:rFonts w:ascii="Arial" w:hAnsi="Arial" w:cs="Arial"/>
          <w:color w:val="000000"/>
          <w:sz w:val="18"/>
          <w:szCs w:val="18"/>
        </w:rPr>
        <w:br/>
        <w:t>Sa rémunération est déductible des bénéfices sociaux si elle est proportionnelle aux services rendus et si elle correspond à un travail effectif.</w:t>
      </w:r>
    </w:p>
    <w:p w:rsidR="000C5241" w:rsidRDefault="000C5241" w:rsidP="000C5241">
      <w:pPr>
        <w:pStyle w:val="NormalWeb"/>
        <w:shd w:val="clear" w:color="auto" w:fill="FFFFFF"/>
        <w:rPr>
          <w:rFonts w:ascii="Arial" w:hAnsi="Arial" w:cs="Arial"/>
          <w:color w:val="000000"/>
          <w:sz w:val="18"/>
          <w:szCs w:val="18"/>
        </w:rPr>
      </w:pPr>
      <w:r>
        <w:rPr>
          <w:rFonts w:ascii="Arial" w:hAnsi="Arial" w:cs="Arial"/>
          <w:color w:val="000000"/>
          <w:sz w:val="18"/>
          <w:szCs w:val="18"/>
        </w:rPr>
        <w:t>Depuis le du 1er janvier 2013, les dividendes perçus sont imposables au barème progressif par tranche et supportent un prélèvement obligatoire à la source de 21% (sauf cas de dispense) à titre d'acompte de l'impôt sur le revenu. Plus d'informations sur le</w:t>
      </w:r>
      <w:r>
        <w:rPr>
          <w:rStyle w:val="apple-converted-space"/>
          <w:rFonts w:ascii="Arial" w:hAnsi="Arial" w:cs="Arial"/>
          <w:color w:val="000000"/>
          <w:sz w:val="18"/>
          <w:szCs w:val="18"/>
        </w:rPr>
        <w:t> </w:t>
      </w:r>
      <w:hyperlink r:id="rId15" w:history="1">
        <w:r>
          <w:rPr>
            <w:rStyle w:val="Lienhypertexte"/>
            <w:rFonts w:ascii="Arial" w:hAnsi="Arial" w:cs="Arial"/>
            <w:sz w:val="18"/>
            <w:szCs w:val="18"/>
          </w:rPr>
          <w:t>régime fiscal des dividendes</w:t>
        </w:r>
      </w:hyperlink>
      <w:r>
        <w:rPr>
          <w:rFonts w:ascii="Arial" w:hAnsi="Arial" w:cs="Arial"/>
          <w:color w:val="000000"/>
          <w:sz w:val="18"/>
          <w:szCs w:val="18"/>
        </w:rPr>
        <w:t>).</w:t>
      </w:r>
    </w:p>
    <w:p w:rsidR="00B43946" w:rsidRDefault="000C5241"/>
    <w:sectPr w:rsidR="00B43946" w:rsidSect="0078687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4B173C"/>
    <w:multiLevelType w:val="multilevel"/>
    <w:tmpl w:val="38C6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C5241"/>
    <w:rsid w:val="000C5241"/>
    <w:rsid w:val="0049445F"/>
    <w:rsid w:val="00786877"/>
    <w:rsid w:val="00883C8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877"/>
  </w:style>
  <w:style w:type="paragraph" w:styleId="Titre1">
    <w:name w:val="heading 1"/>
    <w:basedOn w:val="Normal"/>
    <w:link w:val="Titre1Car"/>
    <w:uiPriority w:val="9"/>
    <w:qFormat/>
    <w:rsid w:val="000C52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unhideWhenUsed/>
    <w:qFormat/>
    <w:rsid w:val="000C52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5241"/>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0C5241"/>
    <w:rPr>
      <w:color w:val="0000FF"/>
      <w:u w:val="single"/>
    </w:rPr>
  </w:style>
  <w:style w:type="character" w:customStyle="1" w:styleId="Titre3Car">
    <w:name w:val="Titre 3 Car"/>
    <w:basedOn w:val="Policepardfaut"/>
    <w:link w:val="Titre3"/>
    <w:uiPriority w:val="9"/>
    <w:rsid w:val="000C5241"/>
    <w:rPr>
      <w:rFonts w:asciiTheme="majorHAnsi" w:eastAsiaTheme="majorEastAsia" w:hAnsiTheme="majorHAnsi" w:cstheme="majorBidi"/>
      <w:b/>
      <w:bCs/>
      <w:color w:val="4F81BD" w:themeColor="accent1"/>
    </w:rPr>
  </w:style>
  <w:style w:type="character" w:customStyle="1" w:styleId="apple-converted-space">
    <w:name w:val="apple-converted-space"/>
    <w:basedOn w:val="Policepardfaut"/>
    <w:rsid w:val="000C5241"/>
  </w:style>
  <w:style w:type="paragraph" w:styleId="NormalWeb">
    <w:name w:val="Normal (Web)"/>
    <w:basedOn w:val="Normal"/>
    <w:uiPriority w:val="99"/>
    <w:unhideWhenUsed/>
    <w:rsid w:val="000C52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C5241"/>
    <w:rPr>
      <w:b/>
      <w:bCs/>
    </w:rPr>
  </w:style>
  <w:style w:type="character" w:styleId="Accentuation">
    <w:name w:val="Emphasis"/>
    <w:basedOn w:val="Policepardfaut"/>
    <w:uiPriority w:val="20"/>
    <w:qFormat/>
    <w:rsid w:val="000C5241"/>
    <w:rPr>
      <w:i/>
      <w:iCs/>
    </w:rPr>
  </w:style>
  <w:style w:type="paragraph" w:styleId="Textedebulles">
    <w:name w:val="Balloon Text"/>
    <w:basedOn w:val="Normal"/>
    <w:link w:val="TextedebullesCar"/>
    <w:uiPriority w:val="99"/>
    <w:semiHidden/>
    <w:unhideWhenUsed/>
    <w:rsid w:val="000C52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C52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066379">
      <w:bodyDiv w:val="1"/>
      <w:marLeft w:val="0"/>
      <w:marRight w:val="0"/>
      <w:marTop w:val="0"/>
      <w:marBottom w:val="0"/>
      <w:divBdr>
        <w:top w:val="none" w:sz="0" w:space="0" w:color="auto"/>
        <w:left w:val="none" w:sz="0" w:space="0" w:color="auto"/>
        <w:bottom w:val="none" w:sz="0" w:space="0" w:color="auto"/>
        <w:right w:val="none" w:sz="0" w:space="0" w:color="auto"/>
      </w:divBdr>
    </w:div>
    <w:div w:id="172234036">
      <w:bodyDiv w:val="1"/>
      <w:marLeft w:val="0"/>
      <w:marRight w:val="0"/>
      <w:marTop w:val="0"/>
      <w:marBottom w:val="0"/>
      <w:divBdr>
        <w:top w:val="none" w:sz="0" w:space="0" w:color="auto"/>
        <w:left w:val="none" w:sz="0" w:space="0" w:color="auto"/>
        <w:bottom w:val="none" w:sz="0" w:space="0" w:color="auto"/>
        <w:right w:val="none" w:sz="0" w:space="0" w:color="auto"/>
      </w:divBdr>
    </w:div>
    <w:div w:id="25390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pce.com/index.php?rubrique_id=2000034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apce.com/index.php?rubrique_id=2000023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pce.com/pid814/statut-du-gerant-d-eurl.html?espace=2" TargetMode="External"/><Relationship Id="rId11" Type="http://schemas.openxmlformats.org/officeDocument/2006/relationships/hyperlink" Target="http://www.apce.com/pid845/consequences-fiscales.html" TargetMode="External"/><Relationship Id="rId5" Type="http://schemas.openxmlformats.org/officeDocument/2006/relationships/hyperlink" Target="http://www.apce.com/pid814/statut-du-gerant-d-eurl.html?espace=2" TargetMode="External"/><Relationship Id="rId15" Type="http://schemas.openxmlformats.org/officeDocument/2006/relationships/hyperlink" Target="http://www.apce.com/pid1663/dividendes.html" TargetMode="External"/><Relationship Id="rId10" Type="http://schemas.openxmlformats.org/officeDocument/2006/relationships/hyperlink" Target="http://www.apce.com/index.php?rubrique_id=2000017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apce.com/index.php?rubrique_id=2000023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846</Words>
  <Characters>4657</Characters>
  <Application>Microsoft Office Word</Application>
  <DocSecurity>0</DocSecurity>
  <Lines>38</Lines>
  <Paragraphs>10</Paragraphs>
  <ScaleCrop>false</ScaleCrop>
  <Company>SOCIETE GENERALE</Company>
  <LinksUpToDate>false</LinksUpToDate>
  <CharactersWithSpaces>5493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ATIK (x138364)</dc:creator>
  <cp:keywords/>
  <dc:description/>
  <cp:lastModifiedBy>YOUSSEF ATIK (x138364)</cp:lastModifiedBy>
  <cp:revision>2</cp:revision>
  <dcterms:created xsi:type="dcterms:W3CDTF">2015-06-02T14:09:00Z</dcterms:created>
  <dcterms:modified xsi:type="dcterms:W3CDTF">2015-06-02T14:10:00Z</dcterms:modified>
</cp:coreProperties>
</file>