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Fleureme v. City of Atlanta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Appeals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29, 2026,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A24A0316</w:t>
      </w:r>
      <w:r>
        <w:rPr>
          <w:rFonts w:ascii="arial" w:eastAsia="arial" w:hAnsi="arial" w:cs="arial"/>
          <w:b w:val="0"/>
          <w:i w:val="0"/>
          <w:strike w:val="0"/>
          <w:noProof w:val="0"/>
          <w:color w:val="000000"/>
          <w:position w:val="0"/>
          <w:sz w:val="20"/>
          <w:u w:val="none"/>
          <w:vertAlign w:val="baseline"/>
        </w:rPr>
        <w:t>.</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2026 Ga. App. LEXIS 37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2026 LX 29565</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2026 WL 235094</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FLEUREME v. CITY OF ATLANTA et al.</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Ante litem notice. Fulton State Court. Before Judge Richardson.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Fleureme v. City of Atlanta, 371 Ga. App. 416, 900 S.E.2d 625, 2024 Ga. App. LEXIS 160, 2024 WL 1594606 (Apr. 12, 2024)</w:t>
      </w:r>
    </w:p>
    <w:p>
      <w:pPr>
        <w:keepNext w:val="0"/>
        <w:spacing w:before="240" w:after="0" w:line="260" w:lineRule="atLeast"/>
        <w:ind w:left="0" w:right="0" w:firstLine="0"/>
        <w:jc w:val="both"/>
      </w:pPr>
      <w:bookmarkStart w:id="3" w:name="Disposition"/>
      <w:bookmarkEnd w:id="3"/>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4" w:name="Bookmark_clspara_1"/>
      <w:bookmarkEnd w:id="4"/>
      <w:r>
        <w:rPr>
          <w:rFonts w:ascii="arial" w:eastAsia="arial" w:hAnsi="arial" w:cs="arial"/>
          <w:b w:val="0"/>
          <w:i w:val="0"/>
          <w:strike w:val="0"/>
          <w:noProof w:val="0"/>
          <w:color w:val="000000"/>
          <w:position w:val="0"/>
          <w:sz w:val="20"/>
          <w:u w:val="none"/>
          <w:vertAlign w:val="baseline"/>
        </w:rPr>
        <w:t>Judgment reversed.</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Ashby Thelen Lowry, Maxwell K. Thelen, Seth A. Lowry; Morgan &amp; Morgan Atlanta, Michael A. Ard-Kelly</w:t>
      </w:r>
      <w:r>
        <w:rPr>
          <w:rFonts w:ascii="arial" w:eastAsia="arial" w:hAnsi="arial" w:cs="arial"/>
          <w:b w:val="0"/>
          <w:i w:val="0"/>
          <w:strike w:val="0"/>
          <w:noProof w:val="0"/>
          <w:color w:val="000000"/>
          <w:position w:val="0"/>
          <w:sz w:val="20"/>
          <w:u w:val="none"/>
          <w:vertAlign w:val="baseline"/>
        </w:rPr>
        <w:t>, for appellant.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Tracey L. Hackett, Hermise Pierre</w:t>
      </w:r>
      <w:r>
        <w:rPr>
          <w:rFonts w:ascii="arial" w:eastAsia="arial" w:hAnsi="arial" w:cs="arial"/>
          <w:b w:val="0"/>
          <w:i w:val="0"/>
          <w:strike w:val="0"/>
          <w:noProof w:val="0"/>
          <w:color w:val="000000"/>
          <w:position w:val="0"/>
          <w:sz w:val="20"/>
          <w:u w:val="none"/>
          <w:vertAlign w:val="baseline"/>
        </w:rPr>
        <w:t>, for appellees.</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HODGES, Judge. Doyle, P. J., and Watkins, J., concur.</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HODGES</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mallCaps/>
          <w:strike w:val="0"/>
          <w:noProof w:val="0"/>
          <w:color w:val="000000"/>
          <w:position w:val="0"/>
          <w:sz w:val="20"/>
          <w:u w:val="none"/>
          <w:vertAlign w:val="baseline"/>
        </w:rPr>
        <w:t>Hodges</w:t>
      </w:r>
      <w:r>
        <w:rPr>
          <w:rFonts w:ascii="arial" w:eastAsia="arial" w:hAnsi="arial" w:cs="arial"/>
          <w:b w:val="0"/>
          <w:i w:val="0"/>
          <w:strike w:val="0"/>
          <w:noProof w:val="0"/>
          <w:color w:val="000000"/>
          <w:position w:val="0"/>
          <w:sz w:val="20"/>
          <w:u w:val="none"/>
          <w:vertAlign w:val="baseline"/>
        </w:rPr>
        <w:t>, Judge.</w:t>
      </w:r>
    </w:p>
    <w:p>
      <w:pPr>
        <w:keepNext w:val="0"/>
        <w:spacing w:before="200" w:after="0" w:line="260" w:lineRule="atLeast"/>
        <w:ind w:left="0" w:right="0" w:firstLine="0"/>
        <w:jc w:val="both"/>
      </w:pPr>
      <w:bookmarkStart w:id="9" w:name="Bookmark_I08J94TFKDG003MBS95005N8"/>
      <w:bookmarkEnd w:id="9"/>
      <w:r>
        <w:rPr>
          <w:rFonts w:ascii="arial" w:eastAsia="arial" w:hAnsi="arial" w:cs="arial"/>
          <w:b w:val="0"/>
          <w:i w:val="0"/>
          <w:strike w:val="0"/>
          <w:noProof w:val="0"/>
          <w:color w:val="000000"/>
          <w:position w:val="0"/>
          <w:sz w:val="20"/>
          <w:u w:val="none"/>
          <w:vertAlign w:val="baseline"/>
        </w:rPr>
        <w:t xml:space="preserve">The decision of the Court of Appeals in this case having been reversed by the Supreme Court in </w:t>
      </w:r>
      <w:bookmarkStart w:id="10" w:name="Bookmark_I08J94TFKDG003MBS95005N7"/>
      <w:bookmarkEnd w:id="10"/>
      <w:r>
        <w:rPr>
          <w:rFonts w:ascii="arial" w:eastAsia="arial" w:hAnsi="arial" w:cs="arial"/>
          <w:b w:val="0"/>
          <w:i/>
          <w:strike w:val="0"/>
          <w:noProof w:val="0"/>
          <w:color w:val="000000"/>
          <w:position w:val="0"/>
          <w:sz w:val="20"/>
          <w:u w:val="none"/>
          <w:vertAlign w:val="baseline"/>
        </w:rPr>
        <w:t>Fleureme v. City of Atlanta</w:t>
      </w:r>
      <w:r>
        <w:rPr>
          <w:rFonts w:ascii="arial" w:eastAsia="arial" w:hAnsi="arial" w:cs="arial"/>
          <w:b w:val="0"/>
          <w:i w:val="0"/>
          <w:strike w:val="0"/>
          <w:noProof w:val="0"/>
          <w:color w:val="000000"/>
          <w:position w:val="0"/>
          <w:sz w:val="20"/>
          <w:u w:val="none"/>
          <w:vertAlign w:val="baseline"/>
        </w:rPr>
        <w:t xml:space="preserve">, 322 Ga. 180 (917 SE2d 593) (2025), our decision in </w:t>
      </w:r>
      <w:bookmarkStart w:id="11" w:name="Bookmark_I08J94TFKDG003MBS95005N9"/>
      <w:bookmarkEnd w:id="11"/>
      <w:r>
        <w:rPr>
          <w:rFonts w:ascii="arial" w:eastAsia="arial" w:hAnsi="arial" w:cs="arial"/>
          <w:b w:val="0"/>
          <w:i/>
          <w:strike w:val="0"/>
          <w:noProof w:val="0"/>
          <w:color w:val="000000"/>
          <w:position w:val="0"/>
          <w:sz w:val="20"/>
          <w:u w:val="none"/>
          <w:vertAlign w:val="baseline"/>
        </w:rPr>
        <w:t>Fleureme v. City of Atlanta</w:t>
      </w:r>
      <w:r>
        <w:rPr>
          <w:rFonts w:ascii="arial" w:eastAsia="arial" w:hAnsi="arial" w:cs="arial"/>
          <w:b w:val="0"/>
          <w:i w:val="0"/>
          <w:strike w:val="0"/>
          <w:noProof w:val="0"/>
          <w:color w:val="000000"/>
          <w:position w:val="0"/>
          <w:sz w:val="20"/>
          <w:u w:val="none"/>
          <w:vertAlign w:val="baseline"/>
        </w:rPr>
        <w:t xml:space="preserve">, 371 Ga. App. 416 (900 SE2d 625) (2024), is hereby vacated, and the judgment of the Supreme Court is made the judgment of this Court. Accordingly, </w:t>
      </w:r>
      <w:bookmarkStart w:id="12" w:name="Bookmark__1"/>
      <w:bookmarkEnd w:id="12"/>
      <w:r>
        <w:rPr>
          <w:rFonts w:ascii="arial" w:eastAsia="arial" w:hAnsi="arial" w:cs="arial"/>
          <w:b w:val="0"/>
          <w:i w:val="0"/>
          <w:strike w:val="0"/>
          <w:noProof w:val="0"/>
          <w:color w:val="000000"/>
          <w:position w:val="0"/>
          <w:sz w:val="20"/>
          <w:u w:val="none"/>
          <w:vertAlign w:val="baseline"/>
        </w:rPr>
        <w:t xml:space="preserve">(1) </w:t>
      </w:r>
      <w:bookmarkStart w:id="13" w:name="Bookmark_I08J94TFKDG003MBS95005N8_2"/>
      <w:bookmarkEnd w:id="13"/>
      <w:r>
        <w:rPr>
          <w:rFonts w:ascii="arial" w:eastAsia="arial" w:hAnsi="arial" w:cs="arial"/>
          <w:b w:val="0"/>
          <w:i w:val="0"/>
          <w:strike w:val="0"/>
          <w:noProof w:val="0"/>
          <w:color w:val="000000"/>
          <w:position w:val="0"/>
          <w:sz w:val="20"/>
          <w:u w:val="none"/>
          <w:vertAlign w:val="baseline"/>
        </w:rPr>
        <w:t>we reverse the trial court’s order to the extent that it granted the City’s motion to dismiss on the ground that the plaintiff’s ante litem notice delivered to the “Office of the Mayor” failed to satisfy the notice required by OCGA § 36-33-5(f).</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reversed. Doyle, P. J., and Watkins, J., concur.</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Fleureme v. City of Atlanta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Fleureme v. City of Atlanta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HSR-MM63-RRN1-501S-00000-00">
    <vt:lpwstr>Doc::/shared/document|contextualFeaturePermID::1530671</vt:lpwstr>
  </property>
  <property fmtid="{D5CDD505-2E9C-101B-9397-08002B2CF9AE}" pid="4" name="LNDeliveryID">
    <vt:lpwstr>279845779</vt:lpwstr>
  </property>
  <property fmtid="{D5CDD505-2E9C-101B-9397-08002B2CF9AE}" pid="5" name="UserPermID">
    <vt:lpwstr>urn:user:PA197239389</vt:lpwstr>
  </property>
</Properties>
</file>