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Martin</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Argaw</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A23A0990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117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892 S.E.2d 417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416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attempt. Gwinnett Superior Court. Before Judge Beyers.</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311 Ga. App. 609, 716 S.E.2d 737, 2011 Ga. App. LEXIS 800 (Sept. 8, 2011)</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 Richard Stepp</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Patsy Austin-Gatson, District Attorney, Christopher L. Lewis,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WATKINS, Judge. Barnes, P. J., and Land,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WATKINS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bookmarkStart w:id="10" w:name="Bookmark_I6983CD42HM5XC0020000400"/>
      <w:bookmarkEnd w:id="10"/>
      <w:r>
        <w:rPr>
          <w:rFonts w:ascii="arial" w:eastAsia="arial" w:hAnsi="arial" w:cs="arial"/>
          <w:b w:val="0"/>
          <w:i w:val="0"/>
          <w:strike w:val="0"/>
          <w:noProof w:val="0"/>
          <w:color w:val="000000"/>
          <w:position w:val="0"/>
          <w:sz w:val="20"/>
          <w:u w:val="none"/>
          <w:vertAlign w:val="baseline"/>
        </w:rPr>
        <w:t>On retrial,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jury found Tamarat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guilty of three counts of criminal attempt to commit murder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he tried to hire a hit man to kill his then-wife, her adult son, and a family friend. On appeal,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argues that the trial court committed reversible error in excluding evidence pertaining to a pending indictment against one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witnesses. For the reasons set forth below, we conclude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has established beyond a reasonable doubt that the limitation on the right of confrontation was harmless. We therefore affirm.</w:t>
      </w:r>
    </w:p>
    <w:p>
      <w:pPr>
        <w:keepNext w:val="0"/>
        <w:spacing w:before="200" w:after="0" w:line="260" w:lineRule="atLeast"/>
        <w:ind w:left="0" w:right="0" w:firstLine="0"/>
        <w:jc w:val="both"/>
      </w:pPr>
      <w:bookmarkStart w:id="14" w:name="Bookmark_I6983CD42HM5XC0040000400"/>
      <w:bookmarkEnd w:id="14"/>
      <w:bookmarkStart w:id="15" w:name="Bookmark_I6983CD52D6MYC0010000400"/>
      <w:bookmarkEnd w:id="15"/>
      <w:r>
        <w:rPr>
          <w:rFonts w:ascii="arial" w:eastAsia="arial" w:hAnsi="arial" w:cs="arial"/>
          <w:b w:val="0"/>
          <w:i w:val="0"/>
          <w:strike w:val="0"/>
          <w:noProof w:val="0"/>
          <w:color w:val="000000"/>
          <w:position w:val="0"/>
          <w:sz w:val="20"/>
          <w:u w:val="none"/>
          <w:vertAlign w:val="baseline"/>
        </w:rPr>
        <w:t>Viewed in the light most favorable to the verdict,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evidence shows that in December 2006,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in custody in Gwinnett County following his arrest for aggravated assault and related charges. We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the facts regarding those underlying charges in his 2011 appeal:</w:t>
      </w:r>
      <w:r>
        <w:rPr>
          <w:rFonts w:ascii="arial" w:eastAsia="arial" w:hAnsi="arial" w:cs="arial"/>
          <w:vertAlign w:val="superscript"/>
        </w:rPr>
        <w:footnoteReference w:customMarkFollows="1" w:id="5"/>
        <w:t xml:space="preserve">4</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and [Frances Martin] married in 1998, but in 2003, their relationship began to deteriorate due to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allegedly engaging in an extra-marital affair. Indeed, when confronted with this allegation,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became so violent toward [Martin] that she called the police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intervene on several occasions. And over the next few years,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and [Martin's] relationship continued to spiral downward. In May 2006, [Martin] obtained a temporary protective order, which prohibited him from having any direct contact with her. One month later, following a hearing, the trial court issued a six-month protective order, which prohibited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from having any direct contact with [Martin] and further ordered that he stay away from the marital home.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On the evening of July 12, 2006, [Martin] invited her friends Peter Vanderpool and Delores Elder to her home for dinner to celebrate her and Vanderpool's recent birthdays. But not long after the three friends sat down to eat on the back deck of the house,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approached the home, rushed up the stairs leading to the back deck, pulled out a pistol, and fired it at [Martin] and her dinner companions. As the shot was fired, Elder bravely jumped in front of [Martin], and the bullet grazed her head. Vanderpool and [Martin] then quickly scrambled inside, but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followed closely behind, chasing [Martin] as she ran toward the kitchen.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Not wanting to be shot in the back, [Martin] stopped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kitchen area near the living room, turned, and courageously faced her husband.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then pulled the trigger of his gun, but, fortunately, the pistol jammed. At that same moment, Vanderpool—who had run into the living room—yelled 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in an attempt to distract him, at which point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grabbed a samurai sword from the mantel above the living room's fireplace and chased Vanderpool outside. But when he was unable to catch Vanderpool,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discarded the sword in some nearby bushes and fled the scene. In the meantime, [Martin] and the wounded Elder managed to call the police, and, within minutes, several officers arrived.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w:t>
      </w:r>
      <w:bookmarkStart w:id="20" w:name="Bookmark_I6983CD52D6MYC0030000400"/>
      <w:bookmarkEnd w:id="20"/>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ultimately arrested in Kentucky by FBI agents and was brought back to Georgia. Thereafter, he was indicted on five counts of aggravated assault, [weapons charges], burglary, and … aggravated stalking.</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jail,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approached his cellmate, Henry Engram, wanting help finding someone to kill Martin. Engram, who was concerned that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trying to set him up, reached out to his attorney, Greg McKeithen, who took the information to the district attorney's office. The case was ultimately assigned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Detective Christopher Smith with the Gwinnett County police department. Smith enlisted the assistance of an undercover investigator to pose as a hit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 Smith gave instructions and a phone number to Engram.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with the assistance of Engram, called the number from the jail on December 8, 2006, and spoke with the “hit man.”</w:t>
      </w:r>
      <w:r>
        <w:rPr>
          <w:rFonts w:ascii="arial" w:eastAsia="arial" w:hAnsi="arial" w:cs="arial"/>
          <w:b w:val="0"/>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The call was recorded on the jail's telephone recording system. During the call,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discussed hiring the “hit man” for a murder, and they scheduled an in-person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“hit man,” wearing a recording device, met with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at the Gwinnett County jail on December 11, 2006.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wanted the “hit man” to kill Martin, her adult son, and Vanderpool.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instructed the “hit man” to shoot Martin with a .380 pistol and afterward to place the gun on her “breast.”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discussed paying the “hit man” somewhere between $40,000 and $45,000 to commit the murders.</w:t>
      </w:r>
    </w:p>
    <w:p>
      <w:pPr>
        <w:keepNext w:val="0"/>
        <w:spacing w:before="200" w:after="0" w:line="260" w:lineRule="atLeast"/>
        <w:ind w:left="0" w:right="0" w:firstLine="0"/>
        <w:jc w:val="both"/>
      </w:pPr>
      <w:bookmarkStart w:id="23" w:name="Bookmark_I6983CD52D6MYC0050000400"/>
      <w:bookmarkEnd w:id="23"/>
      <w:r>
        <w:rPr>
          <w:rFonts w:ascii="arial" w:eastAsia="arial" w:hAnsi="arial" w:cs="arial"/>
          <w:b w:val="0"/>
          <w:i w:val="0"/>
          <w:strike w:val="0"/>
          <w:noProof w:val="0"/>
          <w:color w:val="000000"/>
          <w:position w:val="0"/>
          <w:sz w:val="20"/>
          <w:u w:val="none"/>
          <w:vertAlign w:val="baseline"/>
        </w:rPr>
        <w:t xml:space="preserve">Detective Smith obtained a search warrant to search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's cell. Smith located notes in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's handwriting with the names and additional identifying information for the proposed murder-for-hire victims. Following the search,</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Smith arrested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him, and conducted a custodial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interview was video recorded and played for the jury. During the interview,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admitted to meeting with the “hit man” and discussing the deaths of the three victims.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expressed his anger at all three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jury verdict, the trial court denied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's amended motion for new trial.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argues that the trial court abused its discretion in cutting off all inquiry on cross-examination into the then-pending criminal indictment of McKeithen, Engram's attorney.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contends that the constitutional error was not harmless because McKeithen was a key witness and the evidence may have influenced the jury's verdict.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concedes error but argues that McKeithen was a minor witness and that the evidence against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McKeithen was indicted on multiple counts of computer invasion of privacy, and a single count each of violation of oath by a public officer and theft by taking.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moved in limine that he be allowed to impeach McKeithen regarding the then-pending indictment 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ground that it was relevant to show bias. The court excluded the evidence from coming in.</w:t>
      </w:r>
    </w:p>
    <w:p>
      <w:pPr>
        <w:keepNext w:val="0"/>
        <w:spacing w:before="200" w:after="0" w:line="260" w:lineRule="atLeast"/>
        <w:ind w:left="0" w:right="0" w:firstLine="0"/>
        <w:jc w:val="both"/>
      </w:pPr>
      <w:bookmarkStart w:id="26" w:name="Bookmark_I6983CD528T4RM0020000400"/>
      <w:bookmarkEnd w:id="26"/>
      <w:bookmarkStart w:id="27" w:name="Bookmark_I6983CD62HM5XD0010000400"/>
      <w:bookmarkEnd w:id="27"/>
      <w:bookmarkStart w:id="28" w:name="Bookmark_I6983CD62HM5XD0030000400"/>
      <w:bookmarkEnd w:id="28"/>
      <w:r>
        <w:rPr>
          <w:rFonts w:ascii="arial" w:eastAsia="arial" w:hAnsi="arial" w:cs="arial"/>
          <w:b w:val="0"/>
          <w:i w:val="0"/>
          <w:strike w:val="0"/>
          <w:noProof w:val="0"/>
          <w:color w:val="000000"/>
          <w:position w:val="0"/>
          <w:sz w:val="20"/>
          <w:u w:val="none"/>
          <w:vertAlign w:val="baseline"/>
        </w:rPr>
        <w:t xml:space="preserve">We agree with the parties that this ruling violated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's Sixth Amendment right of confrontation.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32" w:name="Bookmark_LNHNREFclscc1"/>
      <w:bookmarkEnd w:id="32"/>
      <w:r>
        <w:rPr>
          <w:rFonts w:ascii="arial" w:eastAsia="arial" w:hAnsi="arial" w:cs="arial"/>
          <w:b w:val="0"/>
          <w:i w:val="0"/>
          <w:strike w:val="0"/>
          <w:noProof w:val="0"/>
          <w:color w:val="000000"/>
          <w:position w:val="0"/>
          <w:sz w:val="20"/>
          <w:u w:val="none"/>
          <w:vertAlign w:val="baseline"/>
        </w:rPr>
        <w:t xml:space="preserve">Although the error was one of constitutional magnitude, “it can be harmless error if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can prove beyond a reasonable doubt that the error did not</w:t>
      </w:r>
      <w:r>
        <w:rPr>
          <w:rFonts w:ascii="arial" w:eastAsia="arial" w:hAnsi="arial" w:cs="arial"/>
          <w:b w:val="0"/>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contribute to the verdict, such as when the evidence at issue is cumulative of other properly-admitted evidence or when the evidence against the defendant is overwhelming.”</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fact that there was other sufficient </w:t>
      </w:r>
      <w:r>
        <w:rPr>
          <w:rFonts w:ascii="arial" w:eastAsia="arial" w:hAnsi="arial" w:cs="arial"/>
          <w:b w:val="0"/>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evidence to convict does not make the error harmless; rather, the test is whether the evidence may have influenced the jury's verdict.”</w:t>
      </w:r>
      <w:r>
        <w:rPr>
          <w:rFonts w:ascii="arial" w:eastAsia="arial" w:hAnsi="arial" w:cs="arial"/>
          <w:vertAlign w:val="superscript"/>
        </w:rPr>
        <w:footnoteReference w:customMarkFollows="1" w:id="10"/>
        <w:t xml:space="preserve">9</w:t>
      </w:r>
    </w:p>
    <w:p>
      <w:pPr>
        <w:keepNext w:val="0"/>
        <w:spacing w:before="200" w:after="0" w:line="260" w:lineRule="atLeast"/>
        <w:ind w:left="400" w:right="0" w:firstLine="240"/>
        <w:jc w:val="both"/>
      </w:pPr>
      <w:bookmarkStart w:id="37" w:name="Bookmark_I6983CD62HM5XD0050000400"/>
      <w:bookmarkEnd w:id="37"/>
      <w:r>
        <w:rPr>
          <w:rFonts w:ascii="arial" w:eastAsia="arial" w:hAnsi="arial" w:cs="arial"/>
          <w:b w:val="0"/>
          <w:i w:val="0"/>
          <w:strike w:val="0"/>
          <w:noProof w:val="0"/>
          <w:color w:val="000000"/>
          <w:position w:val="0"/>
          <w:sz w:val="20"/>
          <w:u w:val="none"/>
          <w:vertAlign w:val="baseline"/>
        </w:rPr>
        <w:t>[F]actors include [(1)] the importance of the witness' testimony in the prosecution's case, [(2)] whether the testimony was cumulative, [(3)] the presence or absence of evidence corroborating or contradicting the testimony of the witness on material points, [(4)] the extent of cross-examination otherwise permitted, and, of course, [(5)] the overall strength of the prosecution's case.</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40" w:name="Bookmark__1"/>
      <w:bookmarkEnd w:id="40"/>
      <w:r>
        <w:rPr>
          <w:rFonts w:ascii="arial" w:eastAsia="arial" w:hAnsi="arial" w:cs="arial"/>
          <w:b w:val="0"/>
          <w:i w:val="0"/>
          <w:strike w:val="0"/>
          <w:noProof w:val="0"/>
          <w:color w:val="000000"/>
          <w:position w:val="0"/>
          <w:sz w:val="20"/>
          <w:u w:val="none"/>
          <w:vertAlign w:val="baseline"/>
        </w:rPr>
        <w:t xml:space="preserve">(1) First, McKeithen's testimony was not of significant importance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case. McKeithen testified that Engram provided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him with concerning information about his cellmate,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McKeithen did not testify as to what the information was, but simply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forwarded the information to the district attorney's office. Second, McKeithen's testimony was cumulative with that of Engram, who testified that after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asked him if he knew someone who could kill Martin, Engram initially spoke with a deputy at the jail and McKeithen about it and cooperated with the detectives who investigated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McKeithen's testimony was corroborated by Engram, Detective Smith, and the undercover investigator. Fourth,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allowed to cross-examine McKeithen about the ultimate deal that Engram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evidence against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overwhelming. </w:t>
      </w:r>
      <w:bookmarkStart w:id="41" w:name="Bookmark_I6983CD62N1PRN0020000400"/>
      <w:bookmarkEnd w:id="41"/>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was in jail because he had tried to kill Martin, who testified in detail to the events of July 12, 2006. The jury heard extensive testimony of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's attempt to hire a hit man to kill Martin, her son, and Vanderpool through the testimony of Engram, Detective Smith, and the undercover investigator. In addition, the recorded conversations between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 and the investigator, posing as a hit man, were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played for the jury. The jury also saw the</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video of the custodial interview and viewed the handwritten notes found in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Argaw</w:t>
      </w:r>
      <w:r>
        <w:rPr>
          <w:rFonts w:ascii="arial" w:eastAsia="arial" w:hAnsi="arial" w:cs="arial"/>
          <w:b w:val="0"/>
          <w:i w:val="0"/>
          <w:strike w:val="0"/>
          <w:noProof w:val="0"/>
          <w:color w:val="000000"/>
          <w:position w:val="0"/>
          <w:sz w:val="20"/>
          <w:u w:val="none"/>
          <w:vertAlign w:val="baseline"/>
        </w:rPr>
        <w:t xml:space="preserve">'s cell. Based on the foregoing,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proved beyond a reasonable doubt that the error did not contribute to the verdict.</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Barnes, P. J., and Land,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983CD42HM5XC0010000400"/>
      <w:bookmarkEnd w:id="12"/>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Argaw</w:t>
      </w:r>
      <w:r>
        <w:rPr>
          <w:rFonts w:ascii="arial" w:eastAsia="arial" w:hAnsi="arial" w:cs="arial"/>
          <w:b w:val="0"/>
          <w:i/>
          <w:strike w:val="0"/>
          <w:noProof w:val="0"/>
          <w:color w:val="000000"/>
          <w:position w:val="0"/>
          <w:sz w:val="18"/>
          <w:u w:val="none"/>
          <w:vertAlign w:val="baseline"/>
        </w:rPr>
        <w:t xml:space="preserve">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343 Ga. App. 864 (806 SE2d 247) (2017) (reversing </w:t>
      </w:r>
      <w:r>
        <w:rPr>
          <w:rFonts w:ascii="arial" w:eastAsia="arial" w:hAnsi="arial" w:cs="arial"/>
          <w:b w:val="0"/>
          <w:i w:val="0"/>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Argaw</w:t>
      </w:r>
      <w:r>
        <w:rPr>
          <w:rFonts w:ascii="arial" w:eastAsia="arial" w:hAnsi="arial" w:cs="arial"/>
          <w:b w:val="0"/>
          <w:i w:val="0"/>
          <w:strike w:val="0"/>
          <w:noProof w:val="0"/>
          <w:color w:val="000000"/>
          <w:position w:val="0"/>
          <w:sz w:val="18"/>
          <w:u w:val="none"/>
          <w:vertAlign w:val="baseline"/>
        </w:rPr>
        <w:t>'s 2016 convictions and remanding for a new trial because the record did not show that he knowingly, intelligently, and voluntarily waived his right to counsel).</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See OCGA §§ 16-4-1; 16-5-1 (a).</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 xml:space="preserve">See </w:t>
      </w:r>
      <w:bookmarkStart w:id="17" w:name="Bookmark_I6983CD42HM5XC0030000400"/>
      <w:bookmarkEnd w:id="17"/>
      <w:r>
        <w:rPr>
          <w:rFonts w:ascii="arial" w:eastAsia="arial" w:hAnsi="arial" w:cs="arial"/>
          <w:b w:val="0"/>
          <w:i/>
          <w:strike w:val="0"/>
          <w:noProof w:val="0"/>
          <w:color w:val="000000"/>
          <w:position w:val="0"/>
          <w:sz w:val="18"/>
          <w:u w:val="none"/>
          <w:vertAlign w:val="baseline"/>
        </w:rPr>
        <w:t xml:space="preserve">Rankin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278 Ga. 704, 705 (606 SE2d 269) (2004).</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bookmarkStart w:id="19" w:name="Bookmark_I6983CD42HM5XC0050000400"/>
      <w:bookmarkEnd w:id="19"/>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Argaw</w:t>
      </w:r>
      <w:r>
        <w:rPr>
          <w:rFonts w:ascii="arial" w:eastAsia="arial" w:hAnsi="arial" w:cs="arial"/>
          <w:b w:val="0"/>
          <w:i/>
          <w:strike w:val="0"/>
          <w:noProof w:val="0"/>
          <w:color w:val="000000"/>
          <w:position w:val="0"/>
          <w:sz w:val="18"/>
          <w:u w:val="none"/>
          <w:vertAlign w:val="baseline"/>
        </w:rPr>
        <w:t xml:space="preserve">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311 Ga. App. 609 (716 SE2d 737) (2011).</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bookmarkStart w:id="22" w:name="Bookmark_I6983CD52D6MYC0020000400"/>
      <w:bookmarkEnd w:id="22"/>
      <w:r>
        <w:rPr>
          <w:rFonts w:ascii="arial" w:eastAsia="arial" w:hAnsi="arial" w:cs="arial"/>
          <w:b w:val="0"/>
          <w:i w:val="0"/>
          <w:strike w:val="0"/>
          <w:noProof w:val="0"/>
          <w:color w:val="000000"/>
          <w:position w:val="0"/>
          <w:sz w:val="18"/>
          <w:u w:val="none"/>
          <w:vertAlign w:val="baseline"/>
        </w:rPr>
        <w:t>Id. at 609-610.</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 xml:space="preserve">See </w:t>
      </w:r>
      <w:bookmarkStart w:id="25" w:name="Bookmark_I6983CD52D6MYC0040000400"/>
      <w:bookmarkEnd w:id="25"/>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384 U. S. 436 (86 SCt 1602, 16 LE2d 694) (1966).</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9" w:name="Bookmark_fnpara_7"/>
      <w:bookmarkEnd w:id="29"/>
      <w:r>
        <w:rPr>
          <w:rFonts w:ascii="arial" w:eastAsia="arial" w:hAnsi="arial" w:cs="arial"/>
          <w:b w:val="0"/>
          <w:i w:val="0"/>
          <w:strike w:val="0"/>
          <w:noProof w:val="0"/>
          <w:color w:val="000000"/>
          <w:position w:val="0"/>
          <w:sz w:val="18"/>
          <w:u w:val="none"/>
          <w:vertAlign w:val="baseline"/>
        </w:rPr>
        <w:t xml:space="preserve">See </w:t>
      </w:r>
      <w:bookmarkStart w:id="30" w:name="Bookmark_I6983CD528T4RM0010000400"/>
      <w:bookmarkEnd w:id="30"/>
      <w:r>
        <w:rPr>
          <w:rFonts w:ascii="arial" w:eastAsia="arial" w:hAnsi="arial" w:cs="arial"/>
          <w:b w:val="0"/>
          <w:i/>
          <w:strike w:val="0"/>
          <w:noProof w:val="0"/>
          <w:color w:val="000000"/>
          <w:position w:val="0"/>
          <w:sz w:val="18"/>
          <w:u w:val="none"/>
          <w:vertAlign w:val="baseline"/>
        </w:rPr>
        <w:t>Davis v. Alaska</w:t>
      </w:r>
      <w:r>
        <w:rPr>
          <w:rFonts w:ascii="arial" w:eastAsia="arial" w:hAnsi="arial" w:cs="arial"/>
          <w:b w:val="0"/>
          <w:i w:val="0"/>
          <w:strike w:val="0"/>
          <w:noProof w:val="0"/>
          <w:color w:val="000000"/>
          <w:position w:val="0"/>
          <w:sz w:val="18"/>
          <w:u w:val="none"/>
          <w:vertAlign w:val="baseline"/>
        </w:rPr>
        <w:t xml:space="preserve">, 415 U. S. 308, 315-316, 318 (94 SCt 1105, 39 LE2d 347) (1974); </w:t>
      </w:r>
      <w:bookmarkStart w:id="31" w:name="Bookmark_I6983CD528T4RM0030000400"/>
      <w:bookmarkEnd w:id="31"/>
      <w:r>
        <w:rPr>
          <w:rFonts w:ascii="arial" w:eastAsia="arial" w:hAnsi="arial" w:cs="arial"/>
          <w:b w:val="0"/>
          <w:i/>
          <w:strike w:val="0"/>
          <w:noProof w:val="0"/>
          <w:color w:val="000000"/>
          <w:position w:val="0"/>
          <w:sz w:val="18"/>
          <w:u w:val="none"/>
          <w:vertAlign w:val="baseline"/>
        </w:rPr>
        <w:t xml:space="preserve">Hines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249 Ga. 257, 259 (2) (290 SE2d 911) (1982).</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3" w:name="Bookmark_fnpara_8"/>
      <w:bookmarkEnd w:id="33"/>
      <w:r>
        <w:rPr>
          <w:rFonts w:ascii="arial" w:eastAsia="arial" w:hAnsi="arial" w:cs="arial"/>
          <w:b w:val="0"/>
          <w:i w:val="0"/>
          <w:strike w:val="0"/>
          <w:noProof w:val="0"/>
          <w:color w:val="000000"/>
          <w:position w:val="0"/>
          <w:sz w:val="18"/>
          <w:u w:val="none"/>
          <w:vertAlign w:val="baseline"/>
        </w:rPr>
        <w:t xml:space="preserve">(Citation and punctuation omitted.) </w:t>
      </w:r>
      <w:bookmarkStart w:id="34" w:name="Bookmark_I6983CD528T4RM0050000400"/>
      <w:bookmarkEnd w:id="34"/>
      <w:r>
        <w:rPr>
          <w:rFonts w:ascii="arial" w:eastAsia="arial" w:hAnsi="arial" w:cs="arial"/>
          <w:b w:val="0"/>
          <w:i/>
          <w:strike w:val="0"/>
          <w:noProof w:val="0"/>
          <w:color w:val="000000"/>
          <w:position w:val="0"/>
          <w:sz w:val="18"/>
          <w:u w:val="none"/>
          <w:vertAlign w:val="baseline"/>
        </w:rPr>
        <w:t xml:space="preserve">Davidson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304 Ga. 460, 470 (4) (819 SE2d 452) (2018) (reviewing error in admitting statement made by the defendant after he invoked his right to remain silent).</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5" w:name="Bookmark_fnpara_9"/>
      <w:bookmarkEnd w:id="35"/>
      <w:r>
        <w:rPr>
          <w:rFonts w:ascii="arial" w:eastAsia="arial" w:hAnsi="arial" w:cs="arial"/>
          <w:b w:val="0"/>
          <w:i w:val="0"/>
          <w:strike w:val="0"/>
          <w:noProof w:val="0"/>
          <w:color w:val="000000"/>
          <w:position w:val="0"/>
          <w:sz w:val="18"/>
          <w:u w:val="none"/>
          <w:vertAlign w:val="baseline"/>
        </w:rPr>
        <w:t xml:space="preserve">(Citation and punctuation omitted.) </w:t>
      </w:r>
      <w:bookmarkStart w:id="36" w:name="Bookmark_I6983CD62HM5XD0020000400"/>
      <w:bookmarkEnd w:id="36"/>
      <w:r>
        <w:rPr>
          <w:rFonts w:ascii="arial" w:eastAsia="arial" w:hAnsi="arial" w:cs="arial"/>
          <w:b w:val="0"/>
          <w:i/>
          <w:strike w:val="0"/>
          <w:noProof w:val="0"/>
          <w:color w:val="000000"/>
          <w:position w:val="0"/>
          <w:sz w:val="18"/>
          <w:u w:val="none"/>
          <w:vertAlign w:val="baseline"/>
        </w:rPr>
        <w:t xml:space="preserve">Mangum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274 Ga. 573, 577 (2) (555 SE2d 451) (2001).</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bookmarkStart w:id="39" w:name="Bookmark_I6983CD62HM5XD0040000400"/>
      <w:bookmarkEnd w:id="39"/>
      <w:r>
        <w:rPr>
          <w:rFonts w:ascii="arial" w:eastAsia="arial" w:hAnsi="arial" w:cs="arial"/>
          <w:b w:val="0"/>
          <w:i/>
          <w:strike w:val="0"/>
          <w:noProof w:val="0"/>
          <w:color w:val="000000"/>
          <w:position w:val="0"/>
          <w:sz w:val="18"/>
          <w:u w:val="none"/>
          <w:vertAlign w:val="baseline"/>
        </w:rPr>
        <w:t>Delaware v. Van Arsdall</w:t>
      </w:r>
      <w:r>
        <w:rPr>
          <w:rFonts w:ascii="arial" w:eastAsia="arial" w:hAnsi="arial" w:cs="arial"/>
          <w:b w:val="0"/>
          <w:i w:val="0"/>
          <w:strike w:val="0"/>
          <w:noProof w:val="0"/>
          <w:color w:val="000000"/>
          <w:position w:val="0"/>
          <w:sz w:val="18"/>
          <w:u w:val="none"/>
          <w:vertAlign w:val="baseline"/>
        </w:rPr>
        <w:t>, 475 U. S. 673, 684 (106 SCt 1431, 89 LE2d 674) (1986).</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2" w:name="Bookmark_fnpara_11"/>
      <w:bookmarkEnd w:id="42"/>
      <w:r>
        <w:rPr>
          <w:rFonts w:ascii="arial" w:eastAsia="arial" w:hAnsi="arial" w:cs="arial"/>
          <w:b w:val="0"/>
          <w:i w:val="0"/>
          <w:strike w:val="0"/>
          <w:noProof w:val="0"/>
          <w:color w:val="000000"/>
          <w:position w:val="0"/>
          <w:sz w:val="18"/>
          <w:u w:val="none"/>
          <w:vertAlign w:val="baseline"/>
        </w:rPr>
        <w:t xml:space="preserve">See </w:t>
      </w:r>
      <w:bookmarkStart w:id="43" w:name="Bookmark_I6983CD62N1PRN0010000400"/>
      <w:bookmarkEnd w:id="43"/>
      <w:r>
        <w:rPr>
          <w:rFonts w:ascii="arial" w:eastAsia="arial" w:hAnsi="arial" w:cs="arial"/>
          <w:b w:val="0"/>
          <w:i/>
          <w:strike w:val="0"/>
          <w:noProof w:val="0"/>
          <w:color w:val="000000"/>
          <w:position w:val="0"/>
          <w:sz w:val="18"/>
          <w:u w:val="none"/>
          <w:vertAlign w:val="baseline"/>
        </w:rPr>
        <w:t xml:space="preserve">Collum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281 Ga. 719, 719-721 (1) (642 SE2d 640) (2007); </w:t>
      </w:r>
      <w:bookmarkStart w:id="44" w:name="Bookmark_I6983CD62N1PRN0030000400"/>
      <w:bookmarkEnd w:id="44"/>
      <w:r>
        <w:rPr>
          <w:rFonts w:ascii="arial" w:eastAsia="arial" w:hAnsi="arial" w:cs="arial"/>
          <w:b w:val="0"/>
          <w:i/>
          <w:strike w:val="0"/>
          <w:noProof w:val="0"/>
          <w:color w:val="000000"/>
          <w:position w:val="0"/>
          <w:sz w:val="18"/>
          <w:u w:val="none"/>
          <w:vertAlign w:val="baseline"/>
        </w:rPr>
        <w:t xml:space="preserve">Hawkins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316 Ga. App. 415, 419 (2) (a) (729 SE2d 549) (2012).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Martin-Argaw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Martin-Argaw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3R-2NP1-JN14-G02N-00000-00">
    <vt:lpwstr>Doc::/shared/document|contextualFeaturePermID::1530671</vt:lpwstr>
  </property>
  <property fmtid="{D5CDD505-2E9C-101B-9397-08002B2CF9AE}" pid="4" name="LNDeliveryID">
    <vt:lpwstr>279748629</vt:lpwstr>
  </property>
  <property fmtid="{D5CDD505-2E9C-101B-9397-08002B2CF9AE}" pid="5" name="UserPermID">
    <vt:lpwstr>urn:user:PA197239389</vt:lpwstr>
  </property>
</Properties>
</file>